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F48A" w14:textId="60F542AE" w:rsidR="001E56E9" w:rsidRDefault="001E56E9" w:rsidP="003F49F6">
      <w:pPr>
        <w:widowControl w:val="0"/>
        <w:spacing w:after="0" w:line="276" w:lineRule="auto"/>
        <w:ind w:right="10"/>
        <w:jc w:val="center"/>
        <w:rPr>
          <w:rFonts w:ascii="Century Gothic" w:eastAsia="Times New Roman" w:hAnsi="Century Gothic" w:cs="Calibri"/>
          <w:b/>
          <w:bCs/>
          <w:color w:val="364D65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Calibri"/>
          <w:b/>
          <w:bCs/>
          <w:noProof/>
          <w:color w:val="364D65"/>
          <w:kern w:val="28"/>
          <w:sz w:val="24"/>
          <w:szCs w:val="24"/>
        </w:rPr>
        <w:drawing>
          <wp:inline distT="0" distB="0" distL="0" distR="0" wp14:anchorId="3C0BF1B1" wp14:editId="30D5619A">
            <wp:extent cx="3157538" cy="1241425"/>
            <wp:effectExtent l="0" t="0" r="508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HO l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279" cy="12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Calibri"/>
          <w:b/>
          <w:bCs/>
          <w:color w:val="364D65"/>
          <w:kern w:val="28"/>
          <w:sz w:val="24"/>
          <w:szCs w:val="24"/>
          <w14:cntxtAlts/>
        </w:rPr>
        <w:br/>
      </w:r>
    </w:p>
    <w:p w14:paraId="7A1483DE" w14:textId="7B1FD2B1" w:rsidR="003F49F6" w:rsidRDefault="003F49F6" w:rsidP="003F49F6">
      <w:pPr>
        <w:widowControl w:val="0"/>
        <w:spacing w:after="0" w:line="276" w:lineRule="auto"/>
        <w:ind w:right="10"/>
        <w:jc w:val="center"/>
        <w:rPr>
          <w:rFonts w:ascii="Century Gothic" w:eastAsia="Times New Roman" w:hAnsi="Century Gothic" w:cs="Calibri"/>
          <w:b/>
          <w:bCs/>
          <w:color w:val="364D65"/>
          <w:kern w:val="28"/>
          <w:sz w:val="24"/>
          <w:szCs w:val="24"/>
          <w14:cntxtAlts/>
        </w:rPr>
      </w:pPr>
      <w:r w:rsidRPr="003F49F6">
        <w:rPr>
          <w:rFonts w:ascii="Century Gothic" w:eastAsia="Times New Roman" w:hAnsi="Century Gothic" w:cs="Calibri"/>
          <w:b/>
          <w:bCs/>
          <w:color w:val="364D65"/>
          <w:kern w:val="28"/>
          <w:sz w:val="24"/>
          <w:szCs w:val="24"/>
          <w14:cntxtAlts/>
        </w:rPr>
        <w:t>AVAHO 2020 VIRTUAL MEETING EXHIBITOR + MARKETING OPPORTUNITIES</w:t>
      </w:r>
    </w:p>
    <w:p w14:paraId="0EE2C784" w14:textId="3A1F24A5" w:rsidR="001E56E9" w:rsidRDefault="001E56E9" w:rsidP="003F49F6">
      <w:pPr>
        <w:widowControl w:val="0"/>
        <w:spacing w:after="0" w:line="276" w:lineRule="auto"/>
        <w:ind w:right="10"/>
        <w:jc w:val="center"/>
        <w:rPr>
          <w:rFonts w:ascii="Century Gothic" w:eastAsia="Times New Roman" w:hAnsi="Century Gothic" w:cs="Calibri"/>
          <w:i/>
          <w:iCs/>
          <w:color w:val="364D65"/>
          <w:kern w:val="28"/>
          <w14:cntxtAlts/>
        </w:rPr>
      </w:pPr>
      <w:r w:rsidRPr="001E56E9">
        <w:rPr>
          <w:rFonts w:ascii="Century Gothic" w:eastAsia="Times New Roman" w:hAnsi="Century Gothic" w:cs="Calibri"/>
          <w:i/>
          <w:iCs/>
          <w:color w:val="364D65"/>
          <w:kern w:val="28"/>
          <w14:cntxtAlts/>
        </w:rPr>
        <w:t>Updated prospectus addendum for Virtual Format</w:t>
      </w:r>
    </w:p>
    <w:p w14:paraId="57CD9113" w14:textId="04437C85" w:rsidR="00295257" w:rsidRDefault="00295257" w:rsidP="003F49F6">
      <w:pPr>
        <w:widowControl w:val="0"/>
        <w:spacing w:after="0" w:line="276" w:lineRule="auto"/>
        <w:ind w:right="10"/>
        <w:jc w:val="center"/>
        <w:rPr>
          <w:rFonts w:ascii="Century Gothic" w:eastAsia="Times New Roman" w:hAnsi="Century Gothic" w:cs="Calibri"/>
          <w:i/>
          <w:iCs/>
          <w:color w:val="364D65"/>
          <w:kern w:val="28"/>
          <w14:cntxtAlts/>
        </w:rPr>
      </w:pPr>
    </w:p>
    <w:p w14:paraId="2C0C9C09" w14:textId="194F1470" w:rsidR="00295257" w:rsidRPr="002D3F04" w:rsidRDefault="00295257" w:rsidP="003F49F6">
      <w:pPr>
        <w:widowControl w:val="0"/>
        <w:spacing w:after="0" w:line="276" w:lineRule="auto"/>
        <w:ind w:right="10"/>
        <w:jc w:val="center"/>
        <w:rPr>
          <w:rFonts w:ascii="Century Gothic" w:eastAsia="Times New Roman" w:hAnsi="Century Gothic" w:cs="Calibri"/>
          <w:i/>
          <w:iCs/>
          <w:color w:val="364D65"/>
          <w:kern w:val="28"/>
          <w:sz w:val="18"/>
          <w:szCs w:val="18"/>
          <w14:cntxtAlts/>
        </w:rPr>
      </w:pPr>
      <w:r w:rsidRPr="002D3F04">
        <w:rPr>
          <w:rFonts w:ascii="Century Gothic" w:eastAsia="Times New Roman" w:hAnsi="Century Gothic" w:cs="Calibri"/>
          <w:i/>
          <w:iCs/>
          <w:color w:val="364D65"/>
          <w:kern w:val="28"/>
          <w:sz w:val="18"/>
          <w:szCs w:val="18"/>
          <w14:cntxtAlts/>
        </w:rPr>
        <w:t xml:space="preserve">Please contact Julie Lawson (314-853-6063 or </w:t>
      </w:r>
      <w:hyperlink r:id="rId9" w:history="1">
        <w:r w:rsidRPr="002D3F04">
          <w:rPr>
            <w:rStyle w:val="Hyperlink"/>
            <w:rFonts w:ascii="Century Gothic" w:eastAsia="Times New Roman" w:hAnsi="Century Gothic" w:cs="Calibri"/>
            <w:i/>
            <w:iCs/>
            <w:kern w:val="28"/>
            <w:sz w:val="18"/>
            <w:szCs w:val="18"/>
            <w14:cntxtAlts/>
          </w:rPr>
          <w:t>execdirector@avaho.org</w:t>
        </w:r>
      </w:hyperlink>
      <w:r w:rsidRPr="002D3F04">
        <w:rPr>
          <w:rFonts w:ascii="Century Gothic" w:eastAsia="Times New Roman" w:hAnsi="Century Gothic" w:cs="Calibri"/>
          <w:i/>
          <w:iCs/>
          <w:color w:val="364D65"/>
          <w:kern w:val="28"/>
          <w:sz w:val="18"/>
          <w:szCs w:val="18"/>
          <w14:cntxtAlts/>
        </w:rPr>
        <w:t xml:space="preserve">) or Sue Lentz (206-794-9124 or </w:t>
      </w:r>
      <w:hyperlink r:id="rId10" w:history="1">
        <w:r w:rsidRPr="002D3F04">
          <w:rPr>
            <w:rStyle w:val="Hyperlink"/>
            <w:rFonts w:ascii="Century Gothic" w:eastAsia="Times New Roman" w:hAnsi="Century Gothic" w:cs="Calibri"/>
            <w:i/>
            <w:iCs/>
            <w:kern w:val="28"/>
            <w:sz w:val="18"/>
            <w:szCs w:val="18"/>
            <w14:cntxtAlts/>
          </w:rPr>
          <w:t>admin@avaho.org</w:t>
        </w:r>
      </w:hyperlink>
      <w:r w:rsidRPr="002D3F04">
        <w:rPr>
          <w:rFonts w:ascii="Century Gothic" w:eastAsia="Times New Roman" w:hAnsi="Century Gothic" w:cs="Calibri"/>
          <w:i/>
          <w:iCs/>
          <w:color w:val="364D65"/>
          <w:kern w:val="28"/>
          <w:sz w:val="18"/>
          <w:szCs w:val="18"/>
          <w14:cntxtAlts/>
        </w:rPr>
        <w:t>) to make sponsor level selections, ask questions and/or arrange for payment.</w:t>
      </w:r>
    </w:p>
    <w:p w14:paraId="4D0EE049" w14:textId="204150B3" w:rsidR="003F49F6" w:rsidRPr="003F49F6" w:rsidRDefault="003F49F6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</w:pPr>
      <w:r w:rsidRPr="00295257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 </w:t>
      </w:r>
    </w:p>
    <w:p w14:paraId="15BE9312" w14:textId="52B8ACA7" w:rsidR="00364455" w:rsidRPr="00364455" w:rsidRDefault="00364455" w:rsidP="00364455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</w:pPr>
      <w:r w:rsidRPr="00364455"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  <w:t>Technology Sponsor - $75,000</w:t>
      </w:r>
    </w:p>
    <w:p w14:paraId="4B1CD6FB" w14:textId="11101706" w:rsidR="00364455" w:rsidRPr="00364455" w:rsidRDefault="00364455" w:rsidP="00364455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color w:val="000000"/>
          <w:kern w:val="28"/>
          <w:sz w:val="20"/>
          <w:szCs w:val="20"/>
          <w14:cntxtAlts/>
        </w:rPr>
      </w:pPr>
      <w:r w:rsidRPr="00364455">
        <w:rPr>
          <w:rFonts w:ascii="Century Gothic" w:eastAsia="Times New Roman" w:hAnsi="Century Gothic" w:cs="Calibri"/>
          <w:color w:val="000000"/>
          <w:kern w:val="28"/>
          <w:sz w:val="20"/>
          <w:szCs w:val="20"/>
          <w14:cntxtAlts/>
        </w:rPr>
        <w:t xml:space="preserve">As a virtual event, AVAHO is teaming up with a technology partner </w:t>
      </w:r>
      <w:r>
        <w:rPr>
          <w:rFonts w:ascii="Century Gothic" w:eastAsia="Times New Roman" w:hAnsi="Century Gothic" w:cs="Calibri"/>
          <w:color w:val="000000"/>
          <w:kern w:val="28"/>
          <w:sz w:val="20"/>
          <w:szCs w:val="20"/>
          <w14:cntxtAlts/>
        </w:rPr>
        <w:t xml:space="preserve">(to be named by June 10, 2020) </w:t>
      </w:r>
      <w:r w:rsidRPr="00364455">
        <w:rPr>
          <w:rFonts w:ascii="Century Gothic" w:eastAsia="Times New Roman" w:hAnsi="Century Gothic" w:cs="Calibri"/>
          <w:color w:val="000000"/>
          <w:kern w:val="28"/>
          <w:sz w:val="20"/>
          <w:szCs w:val="20"/>
          <w14:cntxtAlts/>
        </w:rPr>
        <w:t>to host our online meeting platform. This</w:t>
      </w:r>
      <w:r>
        <w:rPr>
          <w:rFonts w:ascii="Century Gothic" w:eastAsia="Times New Roman" w:hAnsi="Century Gothic" w:cs="Calibri"/>
          <w:color w:val="000000"/>
          <w:kern w:val="28"/>
          <w:sz w:val="20"/>
          <w:szCs w:val="20"/>
          <w14:cntxtAlts/>
        </w:rPr>
        <w:t xml:space="preserve"> opportunity includes </w:t>
      </w:r>
      <w:r w:rsidRPr="00364455">
        <w:rPr>
          <w:rFonts w:ascii="Century Gothic" w:eastAsia="Times New Roman" w:hAnsi="Century Gothic" w:cs="Calibri"/>
          <w:color w:val="000000"/>
          <w:kern w:val="28"/>
          <w:sz w:val="20"/>
          <w:szCs w:val="20"/>
          <w14:cntxtAlts/>
        </w:rPr>
        <w:t>a platinum sponsor</w:t>
      </w:r>
      <w:r>
        <w:rPr>
          <w:rFonts w:ascii="Century Gothic" w:eastAsia="Times New Roman" w:hAnsi="Century Gothic" w:cs="Calibri"/>
          <w:color w:val="000000"/>
          <w:kern w:val="28"/>
          <w:sz w:val="20"/>
          <w:szCs w:val="20"/>
          <w14:cntxtAlts/>
        </w:rPr>
        <w:t>ship</w:t>
      </w:r>
      <w:r w:rsidRPr="00364455">
        <w:rPr>
          <w:rFonts w:ascii="Century Gothic" w:eastAsia="Times New Roman" w:hAnsi="Century Gothic" w:cs="Calibri"/>
          <w:color w:val="000000"/>
          <w:kern w:val="28"/>
          <w:sz w:val="20"/>
          <w:szCs w:val="20"/>
          <w14:cntxtAlts/>
        </w:rPr>
        <w:t xml:space="preserve"> and naming rights (i.e., “AVAHO Virtual Meeting Platform brought to you by XX” or “XX Virtual Platform”). This is available to one company only and will be granted on a first-committal basis. </w:t>
      </w:r>
    </w:p>
    <w:p w14:paraId="675E7C78" w14:textId="77777777" w:rsidR="00364455" w:rsidRPr="003F49F6" w:rsidRDefault="00364455" w:rsidP="00364455">
      <w:pPr>
        <w:widowControl w:val="0"/>
        <w:spacing w:after="60" w:line="285" w:lineRule="auto"/>
        <w:ind w:right="10"/>
        <w:rPr>
          <w:rFonts w:ascii="Bell MT" w:eastAsia="Times New Roman" w:hAnsi="Bell MT" w:cs="Calibri"/>
          <w:b/>
          <w:bCs/>
          <w:color w:val="000000"/>
          <w:kern w:val="28"/>
          <w:sz w:val="20"/>
          <w:szCs w:val="20"/>
          <w14:cntxtAlts/>
        </w:rPr>
      </w:pPr>
    </w:p>
    <w:p w14:paraId="33C9A280" w14:textId="6C7E2BDE" w:rsidR="003F49F6" w:rsidRPr="003F49F6" w:rsidRDefault="003F49F6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3F49F6"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  <w:t>Platinum Sponsor Benefits - $50,000+</w:t>
      </w:r>
      <w:r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  <w:br/>
      </w:r>
      <w:r w:rsidRPr="003F49F6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The 2020 Virtual Platinum benefits include:</w:t>
      </w:r>
    </w:p>
    <w:p w14:paraId="1A9F091D" w14:textId="252C8ABB" w:rsidR="003F49F6" w:rsidRP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3F49F6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Top billing placement (top of site, largest icons)</w:t>
      </w:r>
      <w:r w:rsid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of booth</w:t>
      </w:r>
      <w:r w:rsidRPr="003F49F6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in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virtual</w:t>
      </w:r>
      <w:r w:rsidRPr="003F49F6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exhibitor hall</w:t>
      </w:r>
    </w:p>
    <w:p w14:paraId="6F718E6A" w14:textId="53532E71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Free inclusion of </w:t>
      </w:r>
      <w:r w:rsidR="00C8651C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printed, 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branded materials (hard copy up to </w:t>
      </w:r>
      <w:r w:rsidR="00364455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four 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ounces) in the conference package mailed to all registrants (500+)</w:t>
      </w:r>
    </w:p>
    <w:p w14:paraId="334FF906" w14:textId="11B06547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10 free admissions to the virtual conference</w:t>
      </w:r>
      <w:r w:rsid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($</w:t>
      </w:r>
      <w:r w:rsidR="00C8651C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300</w:t>
      </w:r>
      <w:r w:rsid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value each)</w:t>
      </w:r>
    </w:p>
    <w:p w14:paraId="35E87CEB" w14:textId="27618D33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Live conferencing ability with participants on 9/12 and 9/13</w:t>
      </w:r>
    </w:p>
    <w:p w14:paraId="64729C2B" w14:textId="440BD8E3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Two 3-minute videos posted within your virtual boot</w:t>
      </w:r>
      <w:r w:rsid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h</w:t>
      </w:r>
      <w:r w:rsidR="00364455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(in addition to </w:t>
      </w:r>
      <w:r w:rsidR="00C8651C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10</w:t>
      </w:r>
      <w:r w:rsidR="00364455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clickable information links and images)</w:t>
      </w:r>
    </w:p>
    <w:p w14:paraId="67DA22BB" w14:textId="032F2030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Emailed information: an email of resources relevant to practitioners will go out each day between 9/12 and 9/19 that will include sponsor-related information </w:t>
      </w:r>
    </w:p>
    <w:p w14:paraId="3A3D64D1" w14:textId="69E3E2C8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Banner ad on conference website</w:t>
      </w:r>
    </w:p>
    <w:p w14:paraId="667FFA21" w14:textId="1BF7F5E0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Logo display on all </w:t>
      </w:r>
      <w:r w:rsidR="00C8651C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printed 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conference </w:t>
      </w:r>
      <w:r w:rsid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collateral and emails to members</w:t>
      </w:r>
    </w:p>
    <w:p w14:paraId="62561E66" w14:textId="1660182E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Banner ad on AVAHO website for 6 months (beginning 10/1/20)</w:t>
      </w:r>
    </w:p>
    <w:p w14:paraId="7F8C6A2F" w14:textId="21EA717E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Two social media blasts (Facebook and Twitter)</w:t>
      </w:r>
    </w:p>
    <w:p w14:paraId="07784226" w14:textId="6E32DBD9" w:rsidR="003F49F6" w:rsidRDefault="003F49F6" w:rsidP="003F49F6">
      <w:pPr>
        <w:pStyle w:val="ListParagraph"/>
        <w:widowControl w:val="0"/>
        <w:numPr>
          <w:ilvl w:val="0"/>
          <w:numId w:val="1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Sponsored panel discussion to be held virtually between 9/20/20 and 12/31/20</w:t>
      </w:r>
    </w:p>
    <w:p w14:paraId="302911B6" w14:textId="270D7F25" w:rsidR="003F49F6" w:rsidRPr="003F49F6" w:rsidRDefault="003F49F6" w:rsidP="003F49F6">
      <w:pPr>
        <w:widowControl w:val="0"/>
        <w:spacing w:after="60" w:line="285" w:lineRule="auto"/>
        <w:ind w:left="720"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</w:p>
    <w:p w14:paraId="3A10A1F3" w14:textId="3B1C8C90" w:rsidR="003F49F6" w:rsidRDefault="003F49F6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</w:p>
    <w:p w14:paraId="514936AB" w14:textId="77777777" w:rsidR="00B248D7" w:rsidRPr="003F49F6" w:rsidRDefault="00B248D7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</w:p>
    <w:p w14:paraId="072DEB36" w14:textId="79D7EA3C" w:rsidR="003F49F6" w:rsidRPr="00695CEB" w:rsidRDefault="003F49F6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</w:pPr>
      <w:r w:rsidRPr="00695CEB"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  <w:t xml:space="preserve">Gold Sponsor Benefits – $30,000 </w:t>
      </w:r>
    </w:p>
    <w:p w14:paraId="21724588" w14:textId="2658944E" w:rsidR="003F49F6" w:rsidRPr="00695CEB" w:rsidRDefault="00695CEB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The 2020 Virtual Gold 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be</w:t>
      </w: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nefits include:</w:t>
      </w:r>
    </w:p>
    <w:p w14:paraId="630E9FB5" w14:textId="5D9641C3" w:rsidR="00695CEB" w:rsidRPr="00695CEB" w:rsidRDefault="00695CEB" w:rsidP="00695CEB">
      <w:pPr>
        <w:pStyle w:val="ListParagraph"/>
        <w:widowControl w:val="0"/>
        <w:numPr>
          <w:ilvl w:val="0"/>
          <w:numId w:val="2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Secondary (just below platinum) exhibitor hall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booth</w:t>
      </w: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placement and logo placement</w:t>
      </w:r>
    </w:p>
    <w:p w14:paraId="27C5398C" w14:textId="4803E77E" w:rsidR="00695CEB" w:rsidRPr="00695CEB" w:rsidRDefault="00695CEB" w:rsidP="00695CEB">
      <w:pPr>
        <w:pStyle w:val="ListParagraph"/>
        <w:widowControl w:val="0"/>
        <w:numPr>
          <w:ilvl w:val="0"/>
          <w:numId w:val="2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lastRenderedPageBreak/>
        <w:t>8 admissions to the virtual conference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($</w:t>
      </w:r>
      <w:r w:rsidR="00C8651C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300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value each)</w:t>
      </w:r>
    </w:p>
    <w:p w14:paraId="68ABFDEA" w14:textId="5A2B8602" w:rsidR="00695CEB" w:rsidRPr="00695CEB" w:rsidRDefault="00695CEB" w:rsidP="00695CEB">
      <w:pPr>
        <w:pStyle w:val="ListParagraph"/>
        <w:widowControl w:val="0"/>
        <w:numPr>
          <w:ilvl w:val="0"/>
          <w:numId w:val="2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Live conferencing ability with participants on 9/12 and 9/13</w:t>
      </w:r>
    </w:p>
    <w:p w14:paraId="52C0EA5E" w14:textId="680B7D11" w:rsidR="00695CEB" w:rsidRPr="00695CEB" w:rsidRDefault="00695CEB" w:rsidP="00695CEB">
      <w:pPr>
        <w:pStyle w:val="ListParagraph"/>
        <w:widowControl w:val="0"/>
        <w:numPr>
          <w:ilvl w:val="0"/>
          <w:numId w:val="2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One 3-minute video posted within virtual booth</w:t>
      </w:r>
      <w:r w:rsidR="00364455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(in addition to </w:t>
      </w:r>
      <w:r w:rsidR="00C8651C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up to 6</w:t>
      </w:r>
      <w:r w:rsidR="00364455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clickable information links and images)</w:t>
      </w:r>
    </w:p>
    <w:p w14:paraId="720B1E8D" w14:textId="248677D2" w:rsidR="00695CEB" w:rsidRPr="00695CEB" w:rsidRDefault="00695CEB" w:rsidP="00695CEB">
      <w:pPr>
        <w:pStyle w:val="ListParagraph"/>
        <w:widowControl w:val="0"/>
        <w:numPr>
          <w:ilvl w:val="0"/>
          <w:numId w:val="2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Emailed information: an email of resources relevant to practitioners will go out each day between 9/12 and 9/19 that will include sponsor related materials</w:t>
      </w:r>
    </w:p>
    <w:p w14:paraId="55AF6B8F" w14:textId="7A1F4983" w:rsidR="00695CEB" w:rsidRPr="00695CEB" w:rsidRDefault="00695CEB" w:rsidP="00695CEB">
      <w:pPr>
        <w:pStyle w:val="ListParagraph"/>
        <w:widowControl w:val="0"/>
        <w:numPr>
          <w:ilvl w:val="0"/>
          <w:numId w:val="2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Banner ad on conference website</w:t>
      </w:r>
    </w:p>
    <w:p w14:paraId="1D54193C" w14:textId="3A7F0C11" w:rsidR="00695CEB" w:rsidRPr="00695CEB" w:rsidRDefault="00695CEB" w:rsidP="00695CEB">
      <w:pPr>
        <w:pStyle w:val="ListParagraph"/>
        <w:widowControl w:val="0"/>
        <w:numPr>
          <w:ilvl w:val="0"/>
          <w:numId w:val="2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Banner ad on AVAHO website for 90 days (beginning 10/1/20)</w:t>
      </w:r>
    </w:p>
    <w:p w14:paraId="36FEB7FA" w14:textId="3361EA9D" w:rsidR="00695CEB" w:rsidRPr="00695CEB" w:rsidRDefault="00695CEB" w:rsidP="00695CEB">
      <w:pPr>
        <w:pStyle w:val="ListParagraph"/>
        <w:widowControl w:val="0"/>
        <w:numPr>
          <w:ilvl w:val="0"/>
          <w:numId w:val="2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 w:rsidRPr="00695CEB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Two social media blasts (Facebook and Twitter)</w:t>
      </w:r>
    </w:p>
    <w:p w14:paraId="4E726678" w14:textId="5D3C1174" w:rsidR="00695CEB" w:rsidRDefault="00695CEB" w:rsidP="00695CEB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</w:p>
    <w:p w14:paraId="64767C02" w14:textId="4658710A" w:rsidR="00695CEB" w:rsidRPr="00695CEB" w:rsidRDefault="00695CEB" w:rsidP="00695CEB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</w:pPr>
      <w:r w:rsidRPr="00695CEB"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  <w:t>Silver Sponsor Benefits - $15,000</w:t>
      </w:r>
    </w:p>
    <w:p w14:paraId="49F56127" w14:textId="2F3E3E11" w:rsidR="00695CEB" w:rsidRDefault="00695CEB" w:rsidP="00695CEB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The 2020 Virtual Silver Sponsor benefits include:</w:t>
      </w:r>
    </w:p>
    <w:p w14:paraId="01DFE1D4" w14:textId="47A93810" w:rsidR="00695CEB" w:rsidRDefault="00695CEB" w:rsidP="00695CEB">
      <w:pPr>
        <w:pStyle w:val="ListParagraph"/>
        <w:widowControl w:val="0"/>
        <w:numPr>
          <w:ilvl w:val="0"/>
          <w:numId w:val="3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3</w:t>
      </w:r>
      <w:r w:rsidRPr="00695CEB">
        <w:rPr>
          <w:rFonts w:ascii="Century Gothic" w:eastAsia="Times New Roman" w:hAnsi="Century Gothic" w:cs="Calibri"/>
          <w:kern w:val="28"/>
          <w:sz w:val="20"/>
          <w:szCs w:val="20"/>
          <w:vertAlign w:val="superscript"/>
          <w14:cntxtAlts/>
        </w:rPr>
        <w:t>rd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-tier placement of booth in virtual exhibitor hall and prominent logo placement</w:t>
      </w:r>
    </w:p>
    <w:p w14:paraId="13721C3B" w14:textId="2F82F2CF" w:rsidR="00695CEB" w:rsidRDefault="00695CEB" w:rsidP="00695CEB">
      <w:pPr>
        <w:pStyle w:val="ListParagraph"/>
        <w:widowControl w:val="0"/>
        <w:numPr>
          <w:ilvl w:val="0"/>
          <w:numId w:val="3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6 admissions to the virtual conference ($</w:t>
      </w:r>
      <w:r w:rsidR="00C8651C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300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value each)</w:t>
      </w:r>
    </w:p>
    <w:p w14:paraId="395ECD90" w14:textId="3FAA0E6A" w:rsidR="00695CEB" w:rsidRDefault="00695CEB" w:rsidP="00695CEB">
      <w:pPr>
        <w:pStyle w:val="ListParagraph"/>
        <w:widowControl w:val="0"/>
        <w:numPr>
          <w:ilvl w:val="0"/>
          <w:numId w:val="3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Live conferencing ability with participants on 9/12 and 9/13</w:t>
      </w:r>
    </w:p>
    <w:p w14:paraId="79F7C36F" w14:textId="44A228E8" w:rsidR="00695CEB" w:rsidRDefault="00695CEB" w:rsidP="00695CEB">
      <w:pPr>
        <w:pStyle w:val="ListParagraph"/>
        <w:widowControl w:val="0"/>
        <w:numPr>
          <w:ilvl w:val="0"/>
          <w:numId w:val="3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One 2-minute video posted within virtual booth (in addition to</w:t>
      </w:r>
      <w:r w:rsidR="00364455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3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clickable information </w:t>
      </w:r>
      <w:r w:rsidR="00364455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links 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and </w:t>
      </w:r>
      <w:r w:rsidR="00364455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images)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</w:t>
      </w:r>
      <w:r w:rsidR="00C8651C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and four (4) clickable ads</w:t>
      </w:r>
    </w:p>
    <w:p w14:paraId="774AF750" w14:textId="43E1F891" w:rsidR="00695CEB" w:rsidRDefault="00695CEB" w:rsidP="00695CEB">
      <w:pPr>
        <w:pStyle w:val="ListParagraph"/>
        <w:widowControl w:val="0"/>
        <w:numPr>
          <w:ilvl w:val="0"/>
          <w:numId w:val="3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Small banner ad on conference website</w:t>
      </w:r>
    </w:p>
    <w:p w14:paraId="78C27CD1" w14:textId="0D4C9FA7" w:rsidR="00695CEB" w:rsidRDefault="00695CEB" w:rsidP="00695CEB">
      <w:pPr>
        <w:pStyle w:val="ListParagraph"/>
        <w:widowControl w:val="0"/>
        <w:numPr>
          <w:ilvl w:val="0"/>
          <w:numId w:val="3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Banner ad on AVAHO website for 30 days (beginning 10/1/20)</w:t>
      </w:r>
    </w:p>
    <w:p w14:paraId="4F957F9E" w14:textId="77777777" w:rsidR="00364455" w:rsidRDefault="00364455" w:rsidP="00364455">
      <w:pPr>
        <w:pStyle w:val="ListParagraph"/>
        <w:widowControl w:val="0"/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</w:p>
    <w:p w14:paraId="435B9E7C" w14:textId="3B814889" w:rsidR="00695CEB" w:rsidRPr="00695CEB" w:rsidRDefault="00695CEB" w:rsidP="00695CEB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</w:pPr>
      <w:r w:rsidRPr="00695CEB"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  <w:t>Bronze Sponsor Benefits</w:t>
      </w:r>
      <w:r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  <w:t xml:space="preserve"> - $</w:t>
      </w:r>
      <w:r w:rsidR="00C8651C"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  <w:t>2,500</w:t>
      </w:r>
    </w:p>
    <w:p w14:paraId="3173CE60" w14:textId="2F675ACA" w:rsidR="00695CEB" w:rsidRDefault="00695CEB" w:rsidP="00695CEB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The 2020 Virtual Bronze Sponsor benefits include:</w:t>
      </w:r>
    </w:p>
    <w:p w14:paraId="2B12CF46" w14:textId="11AA2115" w:rsidR="00695CEB" w:rsidRDefault="00695CEB" w:rsidP="00695CEB">
      <w:pPr>
        <w:pStyle w:val="ListParagraph"/>
        <w:widowControl w:val="0"/>
        <w:numPr>
          <w:ilvl w:val="0"/>
          <w:numId w:val="4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Booth in virtual exhibitor hall</w:t>
      </w:r>
    </w:p>
    <w:p w14:paraId="46C3DF19" w14:textId="28B687DD" w:rsidR="00695CEB" w:rsidRDefault="00695CEB" w:rsidP="00695CEB">
      <w:pPr>
        <w:pStyle w:val="ListParagraph"/>
        <w:widowControl w:val="0"/>
        <w:numPr>
          <w:ilvl w:val="0"/>
          <w:numId w:val="4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4 admissions to the virtual conference ($</w:t>
      </w:r>
      <w:r w:rsidR="00C8651C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300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value each)</w:t>
      </w:r>
    </w:p>
    <w:p w14:paraId="655FA512" w14:textId="48952028" w:rsidR="00695CEB" w:rsidRDefault="00695CEB" w:rsidP="00695CEB">
      <w:pPr>
        <w:pStyle w:val="ListParagraph"/>
        <w:widowControl w:val="0"/>
        <w:numPr>
          <w:ilvl w:val="0"/>
          <w:numId w:val="4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Clickable ads</w:t>
      </w:r>
      <w:r w:rsidR="00364455"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(2)</w:t>
      </w: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 and information within virtual exhibitor hall booth</w:t>
      </w:r>
    </w:p>
    <w:p w14:paraId="51E82026" w14:textId="0BF34F53" w:rsidR="00695CEB" w:rsidRDefault="00364455" w:rsidP="00695CEB">
      <w:pPr>
        <w:pStyle w:val="ListParagraph"/>
        <w:widowControl w:val="0"/>
        <w:numPr>
          <w:ilvl w:val="0"/>
          <w:numId w:val="4"/>
        </w:numPr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 xml:space="preserve">Logo recognition on conference website </w:t>
      </w:r>
    </w:p>
    <w:p w14:paraId="20F9F83B" w14:textId="77777777" w:rsidR="00364455" w:rsidRDefault="00364455" w:rsidP="00364455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kern w:val="28"/>
          <w:sz w:val="20"/>
          <w:szCs w:val="20"/>
          <w14:cntxtAlts/>
        </w:rPr>
      </w:pPr>
    </w:p>
    <w:p w14:paraId="1036D25C" w14:textId="67A8D0DB" w:rsidR="00364455" w:rsidRPr="00364455" w:rsidRDefault="00364455" w:rsidP="00364455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</w:pPr>
      <w:r w:rsidRPr="00364455">
        <w:rPr>
          <w:rFonts w:ascii="Century Gothic" w:eastAsia="Times New Roman" w:hAnsi="Century Gothic" w:cs="Calibri"/>
          <w:b/>
          <w:bCs/>
          <w:color w:val="8A2E5C"/>
          <w:kern w:val="28"/>
          <w14:cntxtAlts/>
        </w:rPr>
        <w:t>Virtual Exhibitor - $1,000</w:t>
      </w:r>
    </w:p>
    <w:p w14:paraId="1741667F" w14:textId="70010834" w:rsidR="003F49F6" w:rsidRDefault="00364455" w:rsidP="003F49F6">
      <w:pPr>
        <w:widowControl w:val="0"/>
        <w:spacing w:after="60" w:line="285" w:lineRule="auto"/>
        <w:ind w:right="10"/>
        <w:rPr>
          <w:rFonts w:ascii="Bell MT" w:eastAsia="Times New Roman" w:hAnsi="Bell MT" w:cs="Calibri"/>
          <w:b/>
          <w:bCs/>
          <w:color w:val="000000"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Calibri"/>
          <w:kern w:val="28"/>
          <w:sz w:val="20"/>
          <w:szCs w:val="20"/>
          <w14:cntxtAlts/>
        </w:rPr>
        <w:t>Your company or product listed within the virtual exhibit hall with a clickable link through to your company’s (or product’s) site.</w:t>
      </w:r>
    </w:p>
    <w:p w14:paraId="1805E17A" w14:textId="77777777" w:rsidR="003F49F6" w:rsidRDefault="003F49F6" w:rsidP="003F49F6">
      <w:pPr>
        <w:widowControl w:val="0"/>
        <w:spacing w:after="60" w:line="285" w:lineRule="auto"/>
        <w:ind w:right="10"/>
        <w:rPr>
          <w:rFonts w:ascii="Bell MT" w:eastAsia="Times New Roman" w:hAnsi="Bell MT" w:cs="Calibri"/>
          <w:b/>
          <w:bCs/>
          <w:color w:val="000000"/>
          <w:kern w:val="28"/>
          <w:sz w:val="20"/>
          <w:szCs w:val="20"/>
          <w14:cntxtAlts/>
        </w:rPr>
      </w:pPr>
    </w:p>
    <w:p w14:paraId="65F90537" w14:textId="77777777" w:rsidR="00364455" w:rsidRPr="00364455" w:rsidRDefault="00364455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000000"/>
          <w:kern w:val="28"/>
          <w:sz w:val="24"/>
          <w:szCs w:val="24"/>
          <w14:cntxtAlts/>
        </w:rPr>
      </w:pPr>
    </w:p>
    <w:p w14:paraId="4575AD63" w14:textId="04C1A6EB" w:rsidR="00C8651C" w:rsidRPr="00364455" w:rsidRDefault="00364455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</w:pPr>
      <w:r w:rsidRPr="00364455">
        <w:rPr>
          <w:rFonts w:ascii="Century Gothic" w:eastAsia="Times New Roman" w:hAnsi="Century Gothic" w:cs="Calibri"/>
          <w:b/>
          <w:bCs/>
          <w:color w:val="1F3864" w:themeColor="accent1" w:themeShade="80"/>
          <w:kern w:val="28"/>
          <w:sz w:val="24"/>
          <w:szCs w:val="24"/>
          <w14:cntxtAlts/>
        </w:rPr>
        <w:t>Additional Opportunities</w:t>
      </w:r>
    </w:p>
    <w:p w14:paraId="009B0175" w14:textId="77777777" w:rsidR="00364455" w:rsidRPr="00364455" w:rsidRDefault="00364455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</w:pPr>
    </w:p>
    <w:p w14:paraId="768070EF" w14:textId="77777777" w:rsidR="00C8651C" w:rsidRDefault="00C8651C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</w:pPr>
      <w:r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  <w:t>Virtual 5K Sponsor - $2,500</w:t>
      </w:r>
    </w:p>
    <w:p w14:paraId="766E0FA6" w14:textId="335F4584" w:rsidR="00C8651C" w:rsidRPr="00C8651C" w:rsidRDefault="00C8651C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i/>
          <w:iCs/>
          <w:kern w:val="28"/>
          <w:sz w:val="20"/>
          <w:szCs w:val="20"/>
          <w14:cntxtAlts/>
        </w:rPr>
      </w:pPr>
      <w:r w:rsidRPr="00C8651C">
        <w:rPr>
          <w:rFonts w:ascii="Century Gothic" w:eastAsia="Times New Roman" w:hAnsi="Century Gothic" w:cs="Calibri"/>
          <w:i/>
          <w:iCs/>
          <w:kern w:val="28"/>
          <w:sz w:val="20"/>
          <w:szCs w:val="20"/>
          <w14:cntxtAlts/>
        </w:rPr>
        <w:t xml:space="preserve">This is an additional charge to any sponsorship package but will count towards your overall sponsorship level. </w:t>
      </w:r>
    </w:p>
    <w:p w14:paraId="68FA981E" w14:textId="77777777" w:rsidR="00C8651C" w:rsidRPr="00C8651C" w:rsidRDefault="00C8651C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i/>
          <w:iCs/>
          <w:kern w:val="28"/>
          <w14:cntxtAlts/>
        </w:rPr>
      </w:pPr>
    </w:p>
    <w:p w14:paraId="52E95C01" w14:textId="201D07DD" w:rsidR="003F49F6" w:rsidRPr="00C8651C" w:rsidRDefault="00C8651C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Arial"/>
          <w:kern w:val="28"/>
          <w14:cntxtAlts/>
        </w:rPr>
      </w:pPr>
      <w:r w:rsidRPr="00C8651C">
        <w:rPr>
          <w:rFonts w:ascii="Century Gothic" w:eastAsia="Times New Roman" w:hAnsi="Century Gothic" w:cs="Calibri"/>
          <w:kern w:val="28"/>
          <w14:cntxtAlts/>
        </w:rPr>
        <w:t xml:space="preserve">In 2020 we are holding </w:t>
      </w:r>
      <w:r>
        <w:rPr>
          <w:rFonts w:ascii="Century Gothic" w:eastAsia="Times New Roman" w:hAnsi="Century Gothic" w:cs="Calibri"/>
          <w:kern w:val="28"/>
          <w14:cntxtAlts/>
        </w:rPr>
        <w:t>our first</w:t>
      </w:r>
      <w:r w:rsidRPr="00C8651C">
        <w:rPr>
          <w:rFonts w:ascii="Century Gothic" w:eastAsia="Times New Roman" w:hAnsi="Century Gothic" w:cs="Calibri"/>
          <w:kern w:val="28"/>
          <w14:cntxtAlts/>
        </w:rPr>
        <w:t xml:space="preserve"> Virtual 5K Fun Walk/Run to benefit the </w:t>
      </w:r>
      <w:r w:rsidRPr="00C8651C">
        <w:rPr>
          <w:rFonts w:ascii="Century Gothic" w:eastAsia="Times New Roman" w:hAnsi="Century Gothic" w:cs="Calibri"/>
          <w:b/>
          <w:bCs/>
          <w:kern w:val="28"/>
          <w14:cntxtAlts/>
        </w:rPr>
        <w:t xml:space="preserve">AVAHO </w:t>
      </w:r>
      <w:r w:rsidRPr="00C8651C">
        <w:rPr>
          <w:rFonts w:ascii="Century Gothic" w:eastAsia="Times New Roman" w:hAnsi="Century Gothic" w:cs="Calibri"/>
          <w:b/>
          <w:bCs/>
          <w:kern w:val="28"/>
          <w14:cntxtAlts/>
        </w:rPr>
        <w:lastRenderedPageBreak/>
        <w:t>Foundation</w:t>
      </w:r>
      <w:r>
        <w:rPr>
          <w:rFonts w:ascii="Century Gothic" w:eastAsia="Times New Roman" w:hAnsi="Century Gothic" w:cs="Calibri"/>
          <w:b/>
          <w:bCs/>
          <w:kern w:val="28"/>
          <w14:cntxtAlts/>
        </w:rPr>
        <w:t xml:space="preserve"> </w:t>
      </w:r>
      <w:r w:rsidRPr="00C8651C">
        <w:rPr>
          <w:rFonts w:ascii="Century Gothic" w:eastAsia="Times New Roman" w:hAnsi="Century Gothic" w:cs="Calibri"/>
          <w:kern w:val="28"/>
          <w14:cntxtAlts/>
        </w:rPr>
        <w:t>(the Foundation, formed in 2020, will fund Veteran cancer research efforts and support Veteran-focused organizations in times of need). This</w:t>
      </w:r>
      <w:r>
        <w:rPr>
          <w:rFonts w:ascii="Century Gothic" w:eastAsia="Times New Roman" w:hAnsi="Century Gothic" w:cs="Calibri"/>
          <w:kern w:val="28"/>
          <w14:cntxtAlts/>
        </w:rPr>
        <w:t xml:space="preserve"> virtual</w:t>
      </w:r>
      <w:r w:rsidRPr="00C8651C">
        <w:rPr>
          <w:rFonts w:ascii="Century Gothic" w:eastAsia="Times New Roman" w:hAnsi="Century Gothic" w:cs="Calibri"/>
          <w:kern w:val="28"/>
          <w14:cntxtAlts/>
        </w:rPr>
        <w:t xml:space="preserve"> event will include a t-shirt with your logo </w:t>
      </w:r>
      <w:r>
        <w:rPr>
          <w:rFonts w:ascii="Century Gothic" w:eastAsia="Times New Roman" w:hAnsi="Century Gothic" w:cs="Calibri"/>
          <w:kern w:val="28"/>
          <w14:cntxtAlts/>
        </w:rPr>
        <w:t>(</w:t>
      </w:r>
      <w:r w:rsidRPr="00C8651C">
        <w:rPr>
          <w:rFonts w:ascii="Century Gothic" w:eastAsia="Times New Roman" w:hAnsi="Century Gothic" w:cs="Calibri"/>
          <w:kern w:val="28"/>
          <w14:cntxtAlts/>
        </w:rPr>
        <w:t>mailed to each participant</w:t>
      </w:r>
      <w:r>
        <w:rPr>
          <w:rFonts w:ascii="Century Gothic" w:eastAsia="Times New Roman" w:hAnsi="Century Gothic" w:cs="Calibri"/>
          <w:kern w:val="28"/>
          <w14:cntxtAlts/>
        </w:rPr>
        <w:t>)</w:t>
      </w:r>
      <w:r w:rsidRPr="00C8651C">
        <w:rPr>
          <w:rFonts w:ascii="Century Gothic" w:eastAsia="Times New Roman" w:hAnsi="Century Gothic" w:cs="Calibri"/>
          <w:kern w:val="28"/>
          <w14:cntxtAlts/>
        </w:rPr>
        <w:t xml:space="preserve"> as well as live-feed</w:t>
      </w:r>
      <w:r>
        <w:rPr>
          <w:rFonts w:ascii="Century Gothic" w:eastAsia="Times New Roman" w:hAnsi="Century Gothic" w:cs="Calibri"/>
          <w:kern w:val="28"/>
          <w14:cntxtAlts/>
        </w:rPr>
        <w:t xml:space="preserve"> social media</w:t>
      </w:r>
      <w:r w:rsidRPr="00C8651C">
        <w:rPr>
          <w:rFonts w:ascii="Century Gothic" w:eastAsia="Times New Roman" w:hAnsi="Century Gothic" w:cs="Calibri"/>
          <w:kern w:val="28"/>
          <w14:cntxtAlts/>
        </w:rPr>
        <w:t xml:space="preserve"> coverage of runners all over the country</w:t>
      </w:r>
      <w:r>
        <w:rPr>
          <w:rFonts w:ascii="Century Gothic" w:eastAsia="Times New Roman" w:hAnsi="Century Gothic" w:cs="Calibri"/>
          <w:kern w:val="28"/>
          <w14:cntxtAlts/>
        </w:rPr>
        <w:t xml:space="preserve"> where we will consistently mention our sponsors</w:t>
      </w:r>
      <w:r w:rsidRPr="00C8651C">
        <w:rPr>
          <w:rFonts w:ascii="Century Gothic" w:eastAsia="Times New Roman" w:hAnsi="Century Gothic" w:cs="Calibri"/>
          <w:kern w:val="28"/>
          <w14:cntxtAlts/>
        </w:rPr>
        <w:t xml:space="preserve">. </w:t>
      </w:r>
      <w:r>
        <w:rPr>
          <w:rFonts w:ascii="Century Gothic" w:eastAsia="Times New Roman" w:hAnsi="Century Gothic" w:cs="Calibri"/>
          <w:kern w:val="28"/>
          <w14:cntxtAlts/>
        </w:rPr>
        <w:t>We encourage company representatives to join us in the run, too!</w:t>
      </w:r>
      <w:r w:rsidR="00364455" w:rsidRPr="00C8651C">
        <w:rPr>
          <w:rFonts w:ascii="Century Gothic" w:eastAsia="Times New Roman" w:hAnsi="Century Gothic" w:cs="Calibri"/>
          <w:kern w:val="28"/>
          <w14:cntxtAlts/>
        </w:rPr>
        <w:br/>
      </w:r>
    </w:p>
    <w:p w14:paraId="5D7B6FB9" w14:textId="088D38F0" w:rsidR="003F49F6" w:rsidRPr="003F49F6" w:rsidRDefault="003F49F6" w:rsidP="003F49F6">
      <w:pPr>
        <w:widowControl w:val="0"/>
        <w:spacing w:after="60" w:line="285" w:lineRule="auto"/>
        <w:ind w:right="10"/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</w:pPr>
      <w:r w:rsidRPr="003F49F6"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  <w:t xml:space="preserve">Registration </w:t>
      </w:r>
      <w:r w:rsidR="00364455" w:rsidRPr="00364455"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  <w:t>Package</w:t>
      </w:r>
      <w:r w:rsidRPr="003F49F6"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  <w:t xml:space="preserve"> Inserts </w:t>
      </w:r>
      <w:r w:rsidRPr="003F49F6">
        <w:rPr>
          <w:rFonts w:ascii="Century Gothic" w:eastAsia="Times New Roman" w:hAnsi="Century Gothic" w:cs="Calibri"/>
          <w:color w:val="8A2E5C"/>
          <w:kern w:val="28"/>
          <w14:cntxtAlts/>
        </w:rPr>
        <w:t xml:space="preserve">($3,000): </w:t>
      </w:r>
    </w:p>
    <w:p w14:paraId="6379F27B" w14:textId="5016B0EE" w:rsidR="003F49F6" w:rsidRPr="003F49F6" w:rsidRDefault="003F49F6" w:rsidP="003F49F6">
      <w:pPr>
        <w:widowControl w:val="0"/>
        <w:spacing w:after="60" w:line="285" w:lineRule="auto"/>
        <w:rPr>
          <w:rFonts w:ascii="Century Gothic" w:eastAsia="Times New Roman" w:hAnsi="Century Gothic" w:cs="Calibri"/>
          <w:color w:val="000000"/>
          <w:spacing w:val="-30"/>
          <w:kern w:val="28"/>
          <w14:cntxtAlts/>
        </w:rPr>
      </w:pP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 xml:space="preserve">Exhibitors may provide important literature to each </w:t>
      </w:r>
      <w:r w:rsidRPr="003F49F6">
        <w:rPr>
          <w:rFonts w:ascii="Century Gothic" w:eastAsia="Times New Roman" w:hAnsi="Century Gothic" w:cs="Calibri"/>
          <w:color w:val="000000"/>
          <w:w w:val="95"/>
          <w:kern w:val="28"/>
          <w14:cntxtAlts/>
        </w:rPr>
        <w:t xml:space="preserve">conference attendee in </w:t>
      </w:r>
      <w:r w:rsidR="00364455" w:rsidRPr="00364455">
        <w:rPr>
          <w:rFonts w:ascii="Century Gothic" w:eastAsia="Times New Roman" w:hAnsi="Century Gothic" w:cs="Calibri"/>
          <w:color w:val="000000"/>
          <w:w w:val="95"/>
          <w:kern w:val="28"/>
          <w14:cntxtAlts/>
        </w:rPr>
        <w:t>a mailed package that will be sent to all conference participants who register by August 31, 2020</w:t>
      </w:r>
      <w:r w:rsidRPr="003F49F6">
        <w:rPr>
          <w:rFonts w:ascii="Century Gothic" w:eastAsia="Times New Roman" w:hAnsi="Century Gothic" w:cs="Calibri"/>
          <w:color w:val="000000"/>
          <w:w w:val="95"/>
          <w:kern w:val="28"/>
          <w14:cntxtAlts/>
        </w:rPr>
        <w:t xml:space="preserve">.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All materials must be approved</w:t>
      </w:r>
      <w:r w:rsidRPr="003F49F6">
        <w:rPr>
          <w:rFonts w:ascii="Century Gothic" w:eastAsia="Times New Roman" w:hAnsi="Century Gothic" w:cs="Calibri"/>
          <w:color w:val="000000"/>
          <w:spacing w:val="-26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by</w:t>
      </w:r>
      <w:r w:rsidRPr="003F49F6">
        <w:rPr>
          <w:rFonts w:ascii="Century Gothic" w:eastAsia="Times New Roman" w:hAnsi="Century Gothic" w:cs="Calibri"/>
          <w:color w:val="000000"/>
          <w:spacing w:val="-26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spacing w:val="-4"/>
          <w:kern w:val="28"/>
          <w14:cntxtAlts/>
        </w:rPr>
        <w:t>AVAHO</w:t>
      </w:r>
      <w:r w:rsidRPr="003F49F6">
        <w:rPr>
          <w:rFonts w:ascii="Century Gothic" w:eastAsia="Times New Roman" w:hAnsi="Century Gothic" w:cs="Calibri"/>
          <w:color w:val="000000"/>
          <w:spacing w:val="-26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in</w:t>
      </w:r>
      <w:r w:rsidRPr="003F49F6">
        <w:rPr>
          <w:rFonts w:ascii="Century Gothic" w:eastAsia="Times New Roman" w:hAnsi="Century Gothic" w:cs="Calibri"/>
          <w:color w:val="000000"/>
          <w:spacing w:val="-26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 xml:space="preserve">advance. </w:t>
      </w:r>
      <w:r w:rsidRPr="003F49F6">
        <w:rPr>
          <w:rFonts w:ascii="Century Gothic" w:eastAsia="Times New Roman" w:hAnsi="Century Gothic" w:cs="Calibri"/>
          <w:color w:val="000000"/>
          <w:w w:val="79"/>
          <w:kern w:val="28"/>
          <w14:cntxtAlts/>
        </w:rPr>
        <w:t>P</w:t>
      </w:r>
      <w:r w:rsidRPr="003F49F6">
        <w:rPr>
          <w:rFonts w:ascii="Century Gothic" w:eastAsia="Times New Roman" w:hAnsi="Century Gothic" w:cs="Calibri"/>
          <w:color w:val="000000"/>
          <w:w w:val="103"/>
          <w:kern w:val="28"/>
          <w14:cntxtAlts/>
        </w:rPr>
        <w:t>r</w:t>
      </w:r>
      <w:r w:rsidRPr="003F49F6">
        <w:rPr>
          <w:rFonts w:ascii="Century Gothic" w:eastAsia="Times New Roman" w:hAnsi="Century Gothic" w:cs="Calibri"/>
          <w:color w:val="000000"/>
          <w:w w:val="104"/>
          <w:kern w:val="28"/>
          <w14:cntxtAlts/>
        </w:rPr>
        <w:t>i</w:t>
      </w:r>
      <w:r w:rsidRPr="003F49F6">
        <w:rPr>
          <w:rFonts w:ascii="Century Gothic" w:eastAsia="Times New Roman" w:hAnsi="Century Gothic" w:cs="Calibri"/>
          <w:color w:val="000000"/>
          <w:w w:val="93"/>
          <w:kern w:val="28"/>
          <w14:cntxtAlts/>
        </w:rPr>
        <w:t>c</w:t>
      </w:r>
      <w:r w:rsidRPr="003F49F6">
        <w:rPr>
          <w:rFonts w:ascii="Century Gothic" w:eastAsia="Times New Roman" w:hAnsi="Century Gothic" w:cs="Calibri"/>
          <w:color w:val="000000"/>
          <w:w w:val="104"/>
          <w:kern w:val="28"/>
          <w14:cntxtAlts/>
        </w:rPr>
        <w:t>i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n</w:t>
      </w:r>
      <w:r w:rsidRPr="003F49F6">
        <w:rPr>
          <w:rFonts w:ascii="Century Gothic" w:eastAsia="Times New Roman" w:hAnsi="Century Gothic" w:cs="Calibri"/>
          <w:color w:val="000000"/>
          <w:w w:val="90"/>
          <w:kern w:val="28"/>
          <w14:cntxtAlts/>
        </w:rPr>
        <w:t>g</w:t>
      </w:r>
      <w:r w:rsidRPr="003F49F6">
        <w:rPr>
          <w:rFonts w:ascii="Century Gothic" w:eastAsia="Times New Roman" w:hAnsi="Century Gothic" w:cs="Calibri"/>
          <w:color w:val="000000"/>
          <w:spacing w:val="-10"/>
          <w:kern w:val="28"/>
          <w14:cntxtAlts/>
        </w:rPr>
        <w:t xml:space="preserve"> is 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b</w:t>
      </w:r>
      <w:r w:rsidRPr="003F49F6">
        <w:rPr>
          <w:rFonts w:ascii="Century Gothic" w:eastAsia="Times New Roman" w:hAnsi="Century Gothic" w:cs="Calibri"/>
          <w:color w:val="000000"/>
          <w:w w:val="87"/>
          <w:kern w:val="28"/>
          <w14:cntxtAlts/>
        </w:rPr>
        <w:t>as</w:t>
      </w:r>
      <w:r w:rsidRPr="003F49F6">
        <w:rPr>
          <w:rFonts w:ascii="Century Gothic" w:eastAsia="Times New Roman" w:hAnsi="Century Gothic" w:cs="Calibri"/>
          <w:color w:val="000000"/>
          <w:spacing w:val="1"/>
          <w:w w:val="88"/>
          <w:kern w:val="28"/>
          <w14:cntxtAlts/>
        </w:rPr>
        <w:t>e</w:t>
      </w:r>
      <w:r w:rsidRPr="003F49F6">
        <w:rPr>
          <w:rFonts w:ascii="Century Gothic" w:eastAsia="Times New Roman" w:hAnsi="Century Gothic" w:cs="Calibri"/>
          <w:color w:val="000000"/>
          <w:w w:val="95"/>
          <w:kern w:val="28"/>
          <w14:cntxtAlts/>
        </w:rPr>
        <w:t>d</w:t>
      </w:r>
      <w:r w:rsidRPr="003F49F6">
        <w:rPr>
          <w:rFonts w:ascii="Century Gothic" w:eastAsia="Times New Roman" w:hAnsi="Century Gothic" w:cs="Calibri"/>
          <w:color w:val="000000"/>
          <w:spacing w:val="-10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on</w:t>
      </w:r>
      <w:r w:rsidRPr="003F49F6">
        <w:rPr>
          <w:rFonts w:ascii="Century Gothic" w:eastAsia="Times New Roman" w:hAnsi="Century Gothic" w:cs="Calibri"/>
          <w:color w:val="000000"/>
          <w:spacing w:val="-10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w w:val="98"/>
          <w:kern w:val="28"/>
          <w14:cntxtAlts/>
        </w:rPr>
        <w:t>m</w:t>
      </w:r>
      <w:r w:rsidRPr="003F49F6">
        <w:rPr>
          <w:rFonts w:ascii="Century Gothic" w:eastAsia="Times New Roman" w:hAnsi="Century Gothic" w:cs="Calibri"/>
          <w:color w:val="000000"/>
          <w:w w:val="87"/>
          <w:kern w:val="28"/>
          <w14:cntxtAlts/>
        </w:rPr>
        <w:t>a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x</w:t>
      </w:r>
      <w:r w:rsidRPr="003F49F6">
        <w:rPr>
          <w:rFonts w:ascii="Century Gothic" w:eastAsia="Times New Roman" w:hAnsi="Century Gothic" w:cs="Calibri"/>
          <w:color w:val="000000"/>
          <w:w w:val="104"/>
          <w:kern w:val="28"/>
          <w14:cntxtAlts/>
        </w:rPr>
        <w:t>i</w:t>
      </w:r>
      <w:r w:rsidRPr="003F49F6">
        <w:rPr>
          <w:rFonts w:ascii="Century Gothic" w:eastAsia="Times New Roman" w:hAnsi="Century Gothic" w:cs="Calibri"/>
          <w:color w:val="000000"/>
          <w:w w:val="98"/>
          <w:kern w:val="28"/>
          <w14:cntxtAlts/>
        </w:rPr>
        <w:t>m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u</w:t>
      </w:r>
      <w:r w:rsidRPr="003F49F6">
        <w:rPr>
          <w:rFonts w:ascii="Century Gothic" w:eastAsia="Times New Roman" w:hAnsi="Century Gothic" w:cs="Calibri"/>
          <w:color w:val="000000"/>
          <w:w w:val="98"/>
          <w:kern w:val="28"/>
          <w14:cntxtAlts/>
        </w:rPr>
        <w:t>m</w:t>
      </w:r>
      <w:r w:rsidRPr="003F49F6">
        <w:rPr>
          <w:rFonts w:ascii="Century Gothic" w:eastAsia="Times New Roman" w:hAnsi="Century Gothic" w:cs="Calibri"/>
          <w:color w:val="000000"/>
          <w:spacing w:val="-10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w w:val="107"/>
          <w:kern w:val="28"/>
          <w14:cntxtAlts/>
        </w:rPr>
        <w:t>f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ou</w:t>
      </w:r>
      <w:r w:rsidRPr="003F49F6">
        <w:rPr>
          <w:rFonts w:ascii="Century Gothic" w:eastAsia="Times New Roman" w:hAnsi="Century Gothic" w:cs="Calibri"/>
          <w:color w:val="000000"/>
          <w:w w:val="103"/>
          <w:kern w:val="28"/>
          <w14:cntxtAlts/>
        </w:rPr>
        <w:t>r</w:t>
      </w:r>
      <w:r w:rsidRPr="003F49F6">
        <w:rPr>
          <w:rFonts w:ascii="Century Gothic" w:eastAsia="Times New Roman" w:hAnsi="Century Gothic" w:cs="Calibri"/>
          <w:color w:val="000000"/>
          <w:spacing w:val="-10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w w:val="95"/>
          <w:kern w:val="28"/>
          <w14:cntxtAlts/>
        </w:rPr>
        <w:t>p</w:t>
      </w:r>
      <w:r w:rsidRPr="003F49F6">
        <w:rPr>
          <w:rFonts w:ascii="Century Gothic" w:eastAsia="Times New Roman" w:hAnsi="Century Gothic" w:cs="Calibri"/>
          <w:color w:val="000000"/>
          <w:w w:val="87"/>
          <w:kern w:val="28"/>
          <w14:cntxtAlts/>
        </w:rPr>
        <w:t>a</w:t>
      </w:r>
      <w:r w:rsidRPr="003F49F6">
        <w:rPr>
          <w:rFonts w:ascii="Century Gothic" w:eastAsia="Times New Roman" w:hAnsi="Century Gothic" w:cs="Calibri"/>
          <w:color w:val="000000"/>
          <w:w w:val="90"/>
          <w:kern w:val="28"/>
          <w14:cntxtAlts/>
        </w:rPr>
        <w:t>g</w:t>
      </w:r>
      <w:r w:rsidRPr="003F49F6">
        <w:rPr>
          <w:rFonts w:ascii="Century Gothic" w:eastAsia="Times New Roman" w:hAnsi="Century Gothic" w:cs="Calibri"/>
          <w:color w:val="000000"/>
          <w:spacing w:val="1"/>
          <w:w w:val="88"/>
          <w:kern w:val="28"/>
          <w14:cntxtAlts/>
        </w:rPr>
        <w:t>e</w:t>
      </w:r>
      <w:r w:rsidRPr="003F49F6">
        <w:rPr>
          <w:rFonts w:ascii="Century Gothic" w:eastAsia="Times New Roman" w:hAnsi="Century Gothic" w:cs="Calibri"/>
          <w:color w:val="000000"/>
          <w:w w:val="87"/>
          <w:kern w:val="28"/>
          <w14:cntxtAlts/>
        </w:rPr>
        <w:t>s</w:t>
      </w:r>
      <w:r w:rsidRPr="003F49F6">
        <w:rPr>
          <w:rFonts w:ascii="Century Gothic" w:eastAsia="Times New Roman" w:hAnsi="Century Gothic" w:cs="Calibri"/>
          <w:color w:val="000000"/>
          <w:spacing w:val="-10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o</w:t>
      </w:r>
      <w:r w:rsidRPr="003F49F6">
        <w:rPr>
          <w:rFonts w:ascii="Century Gothic" w:eastAsia="Times New Roman" w:hAnsi="Century Gothic" w:cs="Calibri"/>
          <w:color w:val="000000"/>
          <w:w w:val="103"/>
          <w:kern w:val="28"/>
          <w14:cntxtAlts/>
        </w:rPr>
        <w:t>r</w:t>
      </w:r>
      <w:r w:rsidRPr="003F49F6">
        <w:rPr>
          <w:rFonts w:ascii="Century Gothic" w:eastAsia="Times New Roman" w:hAnsi="Century Gothic" w:cs="Calibri"/>
          <w:color w:val="000000"/>
          <w:spacing w:val="-10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w w:val="107"/>
          <w:kern w:val="28"/>
          <w14:cntxtAlts/>
        </w:rPr>
        <w:t>f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ou</w:t>
      </w:r>
      <w:r w:rsidRPr="003F49F6">
        <w:rPr>
          <w:rFonts w:ascii="Century Gothic" w:eastAsia="Times New Roman" w:hAnsi="Century Gothic" w:cs="Calibri"/>
          <w:color w:val="000000"/>
          <w:w w:val="103"/>
          <w:kern w:val="28"/>
          <w14:cntxtAlts/>
        </w:rPr>
        <w:t>r</w:t>
      </w:r>
      <w:r w:rsidRPr="003F49F6">
        <w:rPr>
          <w:rFonts w:ascii="Century Gothic" w:eastAsia="Times New Roman" w:hAnsi="Century Gothic" w:cs="Calibri"/>
          <w:color w:val="000000"/>
          <w:spacing w:val="-10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ou</w:t>
      </w:r>
      <w:r w:rsidRPr="003F49F6">
        <w:rPr>
          <w:rFonts w:ascii="Century Gothic" w:eastAsia="Times New Roman" w:hAnsi="Century Gothic" w:cs="Calibri"/>
          <w:color w:val="000000"/>
          <w:spacing w:val="1"/>
          <w:w w:val="94"/>
          <w:kern w:val="28"/>
          <w14:cntxtAlts/>
        </w:rPr>
        <w:t>n</w:t>
      </w:r>
      <w:r w:rsidRPr="003F49F6">
        <w:rPr>
          <w:rFonts w:ascii="Century Gothic" w:eastAsia="Times New Roman" w:hAnsi="Century Gothic" w:cs="Calibri"/>
          <w:color w:val="000000"/>
          <w:w w:val="93"/>
          <w:kern w:val="28"/>
          <w14:cntxtAlts/>
        </w:rPr>
        <w:t>c</w:t>
      </w:r>
      <w:r w:rsidRPr="003F49F6">
        <w:rPr>
          <w:rFonts w:ascii="Century Gothic" w:eastAsia="Times New Roman" w:hAnsi="Century Gothic" w:cs="Calibri"/>
          <w:color w:val="000000"/>
          <w:w w:val="88"/>
          <w:kern w:val="28"/>
          <w14:cntxtAlts/>
        </w:rPr>
        <w:t>e</w:t>
      </w:r>
      <w:r w:rsidRPr="003F49F6">
        <w:rPr>
          <w:rFonts w:ascii="Century Gothic" w:eastAsia="Times New Roman" w:hAnsi="Century Gothic" w:cs="Calibri"/>
          <w:color w:val="000000"/>
          <w:spacing w:val="-10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w w:val="104"/>
          <w:kern w:val="28"/>
          <w14:cntxtAlts/>
        </w:rPr>
        <w:t>i</w:t>
      </w:r>
      <w:r w:rsidRPr="003F49F6">
        <w:rPr>
          <w:rFonts w:ascii="Century Gothic" w:eastAsia="Times New Roman" w:hAnsi="Century Gothic" w:cs="Calibri"/>
          <w:color w:val="000000"/>
          <w:w w:val="94"/>
          <w:kern w:val="28"/>
          <w14:cntxtAlts/>
        </w:rPr>
        <w:t>n</w:t>
      </w:r>
      <w:r w:rsidRPr="003F49F6">
        <w:rPr>
          <w:rFonts w:ascii="Century Gothic" w:eastAsia="Times New Roman" w:hAnsi="Century Gothic" w:cs="Calibri"/>
          <w:color w:val="000000"/>
          <w:w w:val="87"/>
          <w:kern w:val="28"/>
          <w14:cntxtAlts/>
        </w:rPr>
        <w:t>s</w:t>
      </w:r>
      <w:r w:rsidRPr="003F49F6">
        <w:rPr>
          <w:rFonts w:ascii="Century Gothic" w:eastAsia="Times New Roman" w:hAnsi="Century Gothic" w:cs="Calibri"/>
          <w:color w:val="000000"/>
          <w:w w:val="88"/>
          <w:kern w:val="28"/>
          <w14:cntxtAlts/>
        </w:rPr>
        <w:t>e</w:t>
      </w:r>
      <w:r w:rsidRPr="003F49F6">
        <w:rPr>
          <w:rFonts w:ascii="Century Gothic" w:eastAsia="Times New Roman" w:hAnsi="Century Gothic" w:cs="Calibri"/>
          <w:color w:val="000000"/>
          <w:spacing w:val="5"/>
          <w:w w:val="103"/>
          <w:kern w:val="28"/>
          <w14:cntxtAlts/>
        </w:rPr>
        <w:t>r</w:t>
      </w:r>
      <w:r w:rsidRPr="003F49F6">
        <w:rPr>
          <w:rFonts w:ascii="Century Gothic" w:eastAsia="Times New Roman" w:hAnsi="Century Gothic" w:cs="Calibri"/>
          <w:color w:val="000000"/>
          <w:spacing w:val="2"/>
          <w:w w:val="118"/>
          <w:kern w:val="28"/>
          <w14:cntxtAlts/>
        </w:rPr>
        <w:t>t</w:t>
      </w:r>
      <w:r w:rsidRPr="003F49F6">
        <w:rPr>
          <w:rFonts w:ascii="Century Gothic" w:eastAsia="Times New Roman" w:hAnsi="Century Gothic" w:cs="Calibri"/>
          <w:color w:val="000000"/>
          <w:w w:val="78"/>
          <w:kern w:val="28"/>
          <w14:cntxtAlts/>
        </w:rPr>
        <w:t xml:space="preserve">;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premium</w:t>
      </w:r>
      <w:r w:rsidRPr="003F49F6">
        <w:rPr>
          <w:rFonts w:ascii="Century Gothic" w:eastAsia="Times New Roman" w:hAnsi="Century Gothic" w:cs="Calibri"/>
          <w:color w:val="000000"/>
          <w:spacing w:val="-31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charges</w:t>
      </w:r>
      <w:r w:rsidRPr="003F49F6">
        <w:rPr>
          <w:rFonts w:ascii="Century Gothic" w:eastAsia="Times New Roman" w:hAnsi="Century Gothic" w:cs="Calibri"/>
          <w:color w:val="000000"/>
          <w:spacing w:val="-31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may</w:t>
      </w:r>
      <w:r w:rsidRPr="003F49F6">
        <w:rPr>
          <w:rFonts w:ascii="Century Gothic" w:eastAsia="Times New Roman" w:hAnsi="Century Gothic" w:cs="Calibri"/>
          <w:color w:val="000000"/>
          <w:spacing w:val="-31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apply</w:t>
      </w:r>
      <w:r w:rsidRPr="003F49F6">
        <w:rPr>
          <w:rFonts w:ascii="Century Gothic" w:eastAsia="Times New Roman" w:hAnsi="Century Gothic" w:cs="Calibri"/>
          <w:color w:val="000000"/>
          <w:spacing w:val="-31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if</w:t>
      </w:r>
      <w:r w:rsidRPr="003F49F6">
        <w:rPr>
          <w:rFonts w:ascii="Century Gothic" w:eastAsia="Times New Roman" w:hAnsi="Century Gothic" w:cs="Calibri"/>
          <w:color w:val="000000"/>
          <w:spacing w:val="-31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 xml:space="preserve">exceeded. </w:t>
      </w:r>
      <w:r w:rsidRPr="003F49F6">
        <w:rPr>
          <w:rFonts w:ascii="Century Gothic" w:eastAsia="Times New Roman" w:hAnsi="Century Gothic" w:cs="Calibri"/>
          <w:b/>
          <w:bCs/>
          <w:i/>
          <w:iCs/>
          <w:color w:val="000000"/>
          <w:spacing w:val="-30"/>
          <w:kern w:val="28"/>
          <w14:cntxtAlts/>
        </w:rPr>
        <w:br/>
      </w:r>
    </w:p>
    <w:p w14:paraId="41CF71D4" w14:textId="77777777" w:rsidR="003F49F6" w:rsidRPr="003F49F6" w:rsidRDefault="003F49F6" w:rsidP="003F49F6">
      <w:pPr>
        <w:widowControl w:val="0"/>
        <w:spacing w:after="60" w:line="285" w:lineRule="auto"/>
        <w:rPr>
          <w:rFonts w:ascii="Century Gothic" w:eastAsia="Times New Roman" w:hAnsi="Century Gothic" w:cs="Arial"/>
          <w:color w:val="000000"/>
          <w:kern w:val="28"/>
          <w14:cntxtAlts/>
        </w:rPr>
      </w:pPr>
      <w:r w:rsidRPr="003F49F6">
        <w:rPr>
          <w:rFonts w:ascii="Century Gothic" w:eastAsia="Times New Roman" w:hAnsi="Century Gothic" w:cs="Calibri"/>
          <w:b/>
          <w:bCs/>
          <w:color w:val="73264D"/>
          <w:kern w:val="28"/>
          <w14:cntxtAlts/>
        </w:rPr>
        <w:t xml:space="preserve">Educational Grants: </w:t>
      </w:r>
      <w:r w:rsidRPr="003F49F6">
        <w:rPr>
          <w:rFonts w:ascii="Century Gothic" w:eastAsia="Times New Roman" w:hAnsi="Century Gothic" w:cs="Arial"/>
          <w:color w:val="000000"/>
          <w:kern w:val="28"/>
          <w14:cntxtAlts/>
        </w:rPr>
        <w:t xml:space="preserve"> </w:t>
      </w: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$15,000 - $100,000+</w:t>
      </w:r>
    </w:p>
    <w:p w14:paraId="4E4E9C45" w14:textId="3279CA99" w:rsidR="003F49F6" w:rsidRPr="003F49F6" w:rsidRDefault="003F49F6" w:rsidP="003F49F6">
      <w:pPr>
        <w:widowControl w:val="0"/>
        <w:spacing w:after="60" w:line="285" w:lineRule="auto"/>
        <w:rPr>
          <w:rFonts w:ascii="Century Gothic" w:eastAsia="Times New Roman" w:hAnsi="Century Gothic" w:cs="Calibri"/>
          <w:i/>
          <w:iCs/>
          <w:color w:val="000000"/>
          <w:kern w:val="28"/>
          <w14:cntxtAlts/>
        </w:rPr>
      </w:pP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 xml:space="preserve">AVAHO accepts educational and in-kind support from corporations, foundations and other organizations that do not pose a conflict of interest to AVAHO or VA employees. Grants may be used to support CE-accredited training. </w:t>
      </w:r>
      <w:r w:rsidRPr="003F49F6">
        <w:rPr>
          <w:rFonts w:ascii="Century Gothic" w:eastAsia="Times New Roman" w:hAnsi="Century Gothic" w:cs="Calibri"/>
          <w:i/>
          <w:iCs/>
          <w:color w:val="000000"/>
          <w:kern w:val="28"/>
          <w14:cntxtAlts/>
        </w:rPr>
        <w:t>Please contact AVAHO for more information.</w:t>
      </w:r>
    </w:p>
    <w:p w14:paraId="38CDDD22" w14:textId="77777777" w:rsidR="003F49F6" w:rsidRPr="003F49F6" w:rsidRDefault="003F49F6" w:rsidP="003F49F6">
      <w:pPr>
        <w:widowControl w:val="0"/>
        <w:spacing w:after="60" w:line="285" w:lineRule="auto"/>
        <w:rPr>
          <w:rFonts w:ascii="Century Gothic" w:eastAsia="Times New Roman" w:hAnsi="Century Gothic" w:cs="Calibri"/>
          <w:i/>
          <w:iCs/>
          <w:color w:val="000000"/>
          <w:kern w:val="28"/>
          <w14:cntxtAlts/>
        </w:rPr>
      </w:pPr>
      <w:r w:rsidRPr="003F49F6">
        <w:rPr>
          <w:rFonts w:ascii="Century Gothic" w:eastAsia="Times New Roman" w:hAnsi="Century Gothic" w:cs="Calibri"/>
          <w:i/>
          <w:iCs/>
          <w:color w:val="000000"/>
          <w:kern w:val="28"/>
          <w14:cntxtAlts/>
        </w:rPr>
        <w:t> </w:t>
      </w:r>
    </w:p>
    <w:p w14:paraId="43E4BCBD" w14:textId="77777777" w:rsidR="003F49F6" w:rsidRPr="003F49F6" w:rsidRDefault="003F49F6" w:rsidP="003F49F6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3F49F6">
        <w:rPr>
          <w:rFonts w:ascii="Century Gothic" w:eastAsia="Times New Roman" w:hAnsi="Century Gothic" w:cs="Calibri"/>
          <w:color w:val="000000"/>
          <w:kern w:val="28"/>
          <w14:cntxtAlts/>
        </w:rPr>
        <w:t> </w:t>
      </w:r>
    </w:p>
    <w:p w14:paraId="7F349C4B" w14:textId="77777777" w:rsidR="00723932" w:rsidRPr="00364455" w:rsidRDefault="00723932">
      <w:pPr>
        <w:rPr>
          <w:rFonts w:ascii="Century Gothic" w:hAnsi="Century Gothic"/>
        </w:rPr>
      </w:pPr>
    </w:p>
    <w:sectPr w:rsidR="00723932" w:rsidRPr="0036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3042"/>
    <w:multiLevelType w:val="hybridMultilevel"/>
    <w:tmpl w:val="B4AE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A65EE"/>
    <w:multiLevelType w:val="hybridMultilevel"/>
    <w:tmpl w:val="5CB6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3F05"/>
    <w:multiLevelType w:val="hybridMultilevel"/>
    <w:tmpl w:val="D318C0C6"/>
    <w:lvl w:ilvl="0" w:tplc="90988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74928"/>
    <w:multiLevelType w:val="hybridMultilevel"/>
    <w:tmpl w:val="AECE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F6"/>
    <w:rsid w:val="001E56E9"/>
    <w:rsid w:val="00295257"/>
    <w:rsid w:val="002D3F04"/>
    <w:rsid w:val="00364455"/>
    <w:rsid w:val="003F49F6"/>
    <w:rsid w:val="00695CEB"/>
    <w:rsid w:val="00723932"/>
    <w:rsid w:val="009726C2"/>
    <w:rsid w:val="00B248D7"/>
    <w:rsid w:val="00C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D4CD"/>
  <w15:chartTrackingRefBased/>
  <w15:docId w15:val="{92ED8350-8947-4F38-BA2D-37077EF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avaho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xecdirector@avah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BDF5A0DC9C7489DFE3FA6D4328B94" ma:contentTypeVersion="0" ma:contentTypeDescription="Create a new document." ma:contentTypeScope="" ma:versionID="67a2e7d4cdf187b130989a68cb02aa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0e8c3bc8ad83093c956187cc64b0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0CE9B-E2D0-4571-9F12-F68C64827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ACEB1-6621-4536-95B9-31B27F3CF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749F0-8398-4ED5-94BC-D5C4445BB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Lawson</dc:creator>
  <cp:keywords/>
  <dc:description/>
  <cp:lastModifiedBy>Julie Lawson</cp:lastModifiedBy>
  <cp:revision>2</cp:revision>
  <dcterms:created xsi:type="dcterms:W3CDTF">2020-05-15T17:49:00Z</dcterms:created>
  <dcterms:modified xsi:type="dcterms:W3CDTF">2020-05-15T17:49:00Z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0x010100A41BDF5A0DC9C7489DFE3FA6D4328B94</vt:lpwstr>
  </property>
</Properties>
</file>