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1580" w:rsidRDefault="00C032BB" w:rsidP="007C0350">
      <w:pPr>
        <w:jc w:val="center"/>
      </w:pPr>
      <w:r>
        <w:rPr>
          <w:noProof/>
        </w:rPr>
        <mc:AlternateContent>
          <mc:Choice Requires="wps">
            <w:drawing>
              <wp:anchor distT="0" distB="0" distL="114300" distR="114300" simplePos="0" relativeHeight="251659264" behindDoc="0" locked="0" layoutInCell="1" allowOverlap="1" wp14:anchorId="5B6F34D5" wp14:editId="544AA399">
                <wp:simplePos x="0" y="0"/>
                <wp:positionH relativeFrom="column">
                  <wp:posOffset>-133350</wp:posOffset>
                </wp:positionH>
                <wp:positionV relativeFrom="paragraph">
                  <wp:posOffset>1504950</wp:posOffset>
                </wp:positionV>
                <wp:extent cx="6238875" cy="819150"/>
                <wp:effectExtent l="57150" t="57150" r="66675" b="57150"/>
                <wp:wrapNone/>
                <wp:docPr id="3" name="Text Box 3"/>
                <wp:cNvGraphicFramePr/>
                <a:graphic xmlns:a="http://schemas.openxmlformats.org/drawingml/2006/main">
                  <a:graphicData uri="http://schemas.microsoft.com/office/word/2010/wordprocessingShape">
                    <wps:wsp>
                      <wps:cNvSpPr txBox="1"/>
                      <wps:spPr>
                        <a:xfrm>
                          <a:off x="0" y="0"/>
                          <a:ext cx="6238875" cy="819150"/>
                        </a:xfrm>
                        <a:prstGeom prst="rect">
                          <a:avLst/>
                        </a:prstGeom>
                        <a:ln w="117475" cmpd="thickThin">
                          <a:solidFill>
                            <a:schemeClr val="tx1"/>
                          </a:solidFill>
                        </a:ln>
                      </wps:spPr>
                      <wps:style>
                        <a:lnRef idx="2">
                          <a:schemeClr val="dk1"/>
                        </a:lnRef>
                        <a:fillRef idx="1">
                          <a:schemeClr val="lt1"/>
                        </a:fillRef>
                        <a:effectRef idx="0">
                          <a:schemeClr val="dk1"/>
                        </a:effectRef>
                        <a:fontRef idx="minor">
                          <a:schemeClr val="dk1"/>
                        </a:fontRef>
                      </wps:style>
                      <wps:txbx>
                        <w:txbxContent>
                          <w:p w:rsidR="00C032BB" w:rsidRPr="00C032BB" w:rsidRDefault="00C032BB" w:rsidP="00C032BB">
                            <w:pPr>
                              <w:jc w:val="center"/>
                              <w:rPr>
                                <w:b/>
                                <w:sz w:val="72"/>
                                <w:szCs w:val="72"/>
                              </w:rPr>
                            </w:pPr>
                            <w:r w:rsidRPr="00C032BB">
                              <w:rPr>
                                <w:b/>
                                <w:sz w:val="72"/>
                                <w:szCs w:val="72"/>
                              </w:rPr>
                              <w:t>SHIPPING &amp; RECEIVING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B6F34D5" id="_x0000_t202" coordsize="21600,21600" o:spt="202" path="m,l,21600r21600,l21600,xe">
                <v:stroke joinstyle="miter"/>
                <v:path gradientshapeok="t" o:connecttype="rect"/>
              </v:shapetype>
              <v:shape id="Text Box 3" o:spid="_x0000_s1026" type="#_x0000_t202" style="position:absolute;left:0;text-align:left;margin-left:-10.5pt;margin-top:118.5pt;width:491.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" fillcolor="white [3201]" strokecolor="black [3213]" strokeweight="9.25pt">
                <v:stroke linestyle="thickThin"/>
                <v:textbox>
                  <w:txbxContent>
                    <w:p w:rsidR="00C032BB" w:rsidRPr="00C032BB" w:rsidRDefault="00C032BB" w:rsidP="00C032BB">
                      <w:pPr>
                        <w:jc w:val="center"/>
                        <w:rPr>
                          <w:b/>
                          <w:sz w:val="72"/>
                          <w:szCs w:val="72"/>
                        </w:rPr>
                      </w:pPr>
                      <w:r w:rsidRPr="00C032BB">
                        <w:rPr>
                          <w:b/>
                          <w:sz w:val="72"/>
                          <w:szCs w:val="72"/>
                        </w:rPr>
                        <w:t>SHIPPING &amp; RECEIVING</w:t>
                      </w:r>
                    </w:p>
                  </w:txbxContent>
                </v:textbox>
              </v:shape>
            </w:pict>
          </mc:Fallback>
        </mc:AlternateContent>
      </w:r>
      <w:r w:rsidR="007C0350">
        <w:rPr>
          <w:noProof/>
        </w:rPr>
        <w:drawing>
          <wp:inline distT="0" distB="0" distL="0" distR="0" wp14:anchorId="59ED73BF" wp14:editId="057E5AD4">
            <wp:extent cx="5943600" cy="1378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M Color Lo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378585"/>
                    </a:xfrm>
                    <a:prstGeom prst="rect">
                      <a:avLst/>
                    </a:prstGeom>
                  </pic:spPr>
                </pic:pic>
              </a:graphicData>
            </a:graphic>
          </wp:inline>
        </w:drawing>
      </w:r>
    </w:p>
    <w:p w:rsidR="00C032BB" w:rsidRDefault="00C032BB" w:rsidP="00C032BB">
      <w:pPr>
        <w:spacing w:after="0" w:line="240" w:lineRule="auto"/>
        <w:rPr>
          <w:b/>
          <w:sz w:val="48"/>
          <w:szCs w:val="48"/>
          <w:u w:val="single"/>
        </w:rPr>
      </w:pPr>
    </w:p>
    <w:p w:rsidR="00C032BB" w:rsidRDefault="00C032BB" w:rsidP="007C0350">
      <w:pPr>
        <w:spacing w:after="0" w:line="240" w:lineRule="auto"/>
        <w:rPr>
          <w:b/>
          <w:sz w:val="48"/>
          <w:szCs w:val="48"/>
          <w:u w:val="single"/>
        </w:rPr>
      </w:pPr>
    </w:p>
    <w:p w:rsidR="00C032BB" w:rsidRDefault="00C032BB" w:rsidP="007C0350">
      <w:pPr>
        <w:spacing w:after="0" w:line="240" w:lineRule="auto"/>
        <w:rPr>
          <w:b/>
          <w:sz w:val="48"/>
          <w:szCs w:val="48"/>
          <w:u w:val="single"/>
        </w:rPr>
      </w:pPr>
    </w:p>
    <w:p w:rsidR="00C032BB" w:rsidRDefault="00C032BB" w:rsidP="00C032BB">
      <w:pPr>
        <w:spacing w:after="0" w:line="240" w:lineRule="auto"/>
        <w:jc w:val="center"/>
        <w:rPr>
          <w:b/>
          <w:sz w:val="24"/>
          <w:szCs w:val="24"/>
        </w:rPr>
      </w:pPr>
      <w:r w:rsidRPr="00F2136E">
        <w:rPr>
          <w:b/>
          <w:sz w:val="24"/>
          <w:szCs w:val="24"/>
        </w:rPr>
        <w:t xml:space="preserve">Please consult the following </w:t>
      </w:r>
      <w:r>
        <w:rPr>
          <w:b/>
          <w:sz w:val="24"/>
          <w:szCs w:val="24"/>
        </w:rPr>
        <w:t>form</w:t>
      </w:r>
      <w:r w:rsidRPr="00F2136E">
        <w:rPr>
          <w:b/>
          <w:sz w:val="24"/>
          <w:szCs w:val="24"/>
        </w:rPr>
        <w:t xml:space="preserve"> regarding the facility’s specifications on </w:t>
      </w:r>
    </w:p>
    <w:p w:rsidR="00C032BB" w:rsidRPr="00F2136E" w:rsidRDefault="002012AF" w:rsidP="00C032BB">
      <w:pPr>
        <w:spacing w:after="0" w:line="240" w:lineRule="auto"/>
        <w:jc w:val="center"/>
        <w:rPr>
          <w:b/>
          <w:sz w:val="24"/>
          <w:szCs w:val="24"/>
        </w:rPr>
      </w:pPr>
      <w:proofErr w:type="gramStart"/>
      <w:r>
        <w:rPr>
          <w:b/>
          <w:sz w:val="24"/>
          <w:szCs w:val="24"/>
        </w:rPr>
        <w:t>i</w:t>
      </w:r>
      <w:r w:rsidR="00C032BB">
        <w:rPr>
          <w:b/>
          <w:sz w:val="24"/>
          <w:szCs w:val="24"/>
        </w:rPr>
        <w:t>n</w:t>
      </w:r>
      <w:r>
        <w:rPr>
          <w:b/>
          <w:sz w:val="24"/>
          <w:szCs w:val="24"/>
        </w:rPr>
        <w:t>-</w:t>
      </w:r>
      <w:r w:rsidR="00C032BB">
        <w:rPr>
          <w:b/>
          <w:sz w:val="24"/>
          <w:szCs w:val="24"/>
        </w:rPr>
        <w:t>bound</w:t>
      </w:r>
      <w:proofErr w:type="gramEnd"/>
      <w:r w:rsidR="00C032BB">
        <w:rPr>
          <w:b/>
          <w:sz w:val="24"/>
          <w:szCs w:val="24"/>
        </w:rPr>
        <w:t xml:space="preserve"> shipping, outbound shipping, and</w:t>
      </w:r>
      <w:r w:rsidR="00C032BB" w:rsidRPr="00F2136E">
        <w:rPr>
          <w:b/>
          <w:sz w:val="24"/>
          <w:szCs w:val="24"/>
        </w:rPr>
        <w:t xml:space="preserve"> payment policy.</w:t>
      </w:r>
    </w:p>
    <w:p w:rsidR="00C032BB" w:rsidRDefault="00C032BB" w:rsidP="00C032BB">
      <w:pPr>
        <w:spacing w:after="0" w:line="240" w:lineRule="auto"/>
      </w:pPr>
    </w:p>
    <w:p w:rsidR="00C032BB" w:rsidRDefault="00C032BB" w:rsidP="00C032BB">
      <w:pPr>
        <w:pStyle w:val="ListParagraph"/>
        <w:numPr>
          <w:ilvl w:val="0"/>
          <w:numId w:val="1"/>
        </w:numPr>
        <w:spacing w:after="0" w:line="240" w:lineRule="auto"/>
      </w:pPr>
      <w:r>
        <w:t>Shipments are limited to no sooner than two (2) working days from the first day of the event.  Shipments received earlier than this time will be subject to a storage fee.</w:t>
      </w:r>
    </w:p>
    <w:p w:rsidR="00C032BB" w:rsidRDefault="00C032BB" w:rsidP="00C032BB">
      <w:pPr>
        <w:pStyle w:val="ListParagraph"/>
        <w:numPr>
          <w:ilvl w:val="0"/>
          <w:numId w:val="1"/>
        </w:numPr>
        <w:spacing w:after="0" w:line="240" w:lineRule="auto"/>
      </w:pPr>
      <w:r>
        <w:t>Special arrangements must be made for receiving any equipment, goods, displays or other materials being delivered or brought into the hotel.  Failure to do this may result in deliveries being refused or materials being unavailable when required.</w:t>
      </w:r>
    </w:p>
    <w:p w:rsidR="00C032BB" w:rsidRDefault="00C032BB" w:rsidP="00C032BB">
      <w:pPr>
        <w:pStyle w:val="ListParagraph"/>
        <w:numPr>
          <w:ilvl w:val="0"/>
          <w:numId w:val="1"/>
        </w:numPr>
        <w:spacing w:after="0" w:line="240" w:lineRule="auto"/>
      </w:pPr>
      <w:r>
        <w:t>Hotel receiving entrance is open from 6:30am until 3:00pm Monday through Friday.</w:t>
      </w:r>
    </w:p>
    <w:p w:rsidR="00C032BB" w:rsidRDefault="00C032BB" w:rsidP="00C032BB">
      <w:pPr>
        <w:pStyle w:val="ListParagraph"/>
        <w:numPr>
          <w:ilvl w:val="0"/>
          <w:numId w:val="1"/>
        </w:numPr>
        <w:spacing w:after="0" w:line="240" w:lineRule="auto"/>
      </w:pPr>
      <w:r>
        <w:t>The hotel shall not be liable for safe or timely arrivals of packages sent to the hotel by or for the group.  It is the group’s responsibility to check and make sure the contents are intact.  The hotel accepts no liability for lost, stolen, or damaged goods.  The hotel will not accept C.O.D. shipments.  Please note that storage space is extremely limited.  Upon arrival, please contact Guest Services or Convention Services Floor to arrange for delivery.</w:t>
      </w:r>
    </w:p>
    <w:p w:rsidR="00C032BB" w:rsidRDefault="00C032BB" w:rsidP="00C032BB">
      <w:pPr>
        <w:pStyle w:val="ListParagraph"/>
        <w:numPr>
          <w:ilvl w:val="0"/>
          <w:numId w:val="1"/>
        </w:numPr>
        <w:spacing w:after="0" w:line="240" w:lineRule="auto"/>
      </w:pPr>
      <w:r>
        <w:t>Normal delivery of Federal Express (FedEx), Airborne and UPS packages occurs between 10:00am and 11:00am.</w:t>
      </w:r>
    </w:p>
    <w:p w:rsidR="002012AF" w:rsidRDefault="002012AF" w:rsidP="00C032BB">
      <w:pPr>
        <w:pStyle w:val="ListParagraph"/>
        <w:numPr>
          <w:ilvl w:val="0"/>
          <w:numId w:val="1"/>
        </w:numPr>
        <w:spacing w:after="0" w:line="240" w:lineRule="auto"/>
      </w:pPr>
      <w:r>
        <w:t>All Exhibitor Shipments must go through the drayage company.</w:t>
      </w:r>
    </w:p>
    <w:p w:rsidR="00C032BB" w:rsidRDefault="00C032BB" w:rsidP="00C032BB">
      <w:pPr>
        <w:pStyle w:val="ListParagraph"/>
        <w:spacing w:after="0" w:line="240" w:lineRule="auto"/>
      </w:pPr>
    </w:p>
    <w:tbl>
      <w:tblPr>
        <w:tblStyle w:val="TableGrid"/>
        <w:tblW w:w="0" w:type="auto"/>
        <w:tblLook w:val="04A0" w:firstRow="1" w:lastRow="0" w:firstColumn="1" w:lastColumn="0" w:noHBand="0" w:noVBand="1"/>
      </w:tblPr>
      <w:tblGrid>
        <w:gridCol w:w="9576"/>
      </w:tblGrid>
      <w:tr w:rsidR="00C032BB" w:rsidRPr="0029716A" w:rsidTr="008C6625">
        <w:tc>
          <w:tcPr>
            <w:tcW w:w="10908" w:type="dxa"/>
            <w:tcBorders>
              <w:bottom w:val="single" w:sz="4" w:space="0" w:color="auto"/>
            </w:tcBorders>
            <w:shd w:val="clear" w:color="auto" w:fill="000000" w:themeFill="text1"/>
          </w:tcPr>
          <w:p w:rsidR="00C032BB" w:rsidRPr="00AF3A82" w:rsidRDefault="00C032BB" w:rsidP="008C6625">
            <w:pPr>
              <w:jc w:val="center"/>
              <w:rPr>
                <w:b/>
                <w:color w:val="FFFFFF" w:themeColor="background1"/>
                <w:sz w:val="32"/>
                <w:szCs w:val="32"/>
              </w:rPr>
            </w:pPr>
            <w:r>
              <w:rPr>
                <w:b/>
                <w:color w:val="FFFFFF" w:themeColor="background1"/>
                <w:sz w:val="32"/>
                <w:szCs w:val="32"/>
              </w:rPr>
              <w:t>STANDARDS</w:t>
            </w:r>
          </w:p>
        </w:tc>
      </w:tr>
      <w:tr w:rsidR="00C032BB" w:rsidTr="008C6625">
        <w:tc>
          <w:tcPr>
            <w:tcW w:w="10908" w:type="dxa"/>
            <w:vAlign w:val="center"/>
          </w:tcPr>
          <w:p w:rsidR="00C032BB" w:rsidRPr="0097191E" w:rsidRDefault="00C032BB" w:rsidP="008C6625">
            <w:pPr>
              <w:rPr>
                <w:rFonts w:cstheme="minorHAnsi"/>
                <w:sz w:val="18"/>
                <w:szCs w:val="18"/>
              </w:rPr>
            </w:pPr>
            <w:r w:rsidRPr="0097191E">
              <w:rPr>
                <w:rFonts w:cstheme="minorHAnsi"/>
                <w:sz w:val="18"/>
                <w:szCs w:val="18"/>
              </w:rPr>
              <w:t>NON-FLAMMABLE MATERIALS</w:t>
            </w:r>
          </w:p>
          <w:p w:rsidR="00C032BB" w:rsidRPr="0097191E" w:rsidRDefault="00C032BB" w:rsidP="008C6625">
            <w:pPr>
              <w:rPr>
                <w:rFonts w:cstheme="minorHAnsi"/>
                <w:sz w:val="18"/>
                <w:szCs w:val="18"/>
              </w:rPr>
            </w:pPr>
            <w:r w:rsidRPr="0097191E">
              <w:rPr>
                <w:rFonts w:cstheme="minorHAnsi"/>
                <w:sz w:val="18"/>
                <w:szCs w:val="18"/>
              </w:rPr>
              <w:t>All materials used in the Hotel must be non-flammable to comply with the Fire Regulations of Minnesota and the city of Minneapolis.  Material not confirming to such regulations will be removed immediately at the exhibitor’s expense.</w:t>
            </w:r>
          </w:p>
          <w:p w:rsidR="00C032BB" w:rsidRPr="0097191E" w:rsidRDefault="00C032BB" w:rsidP="008C6625">
            <w:pPr>
              <w:rPr>
                <w:rFonts w:cstheme="minorHAnsi"/>
                <w:sz w:val="10"/>
                <w:szCs w:val="10"/>
              </w:rPr>
            </w:pPr>
          </w:p>
          <w:p w:rsidR="00C032BB" w:rsidRPr="0097191E" w:rsidRDefault="00C032BB" w:rsidP="008C6625">
            <w:pPr>
              <w:rPr>
                <w:rFonts w:cstheme="minorHAnsi"/>
                <w:sz w:val="18"/>
                <w:szCs w:val="18"/>
              </w:rPr>
            </w:pPr>
            <w:r w:rsidRPr="0097191E">
              <w:rPr>
                <w:rFonts w:cstheme="minorHAnsi"/>
                <w:sz w:val="18"/>
                <w:szCs w:val="18"/>
              </w:rPr>
              <w:t>SPECIAL NOTICES</w:t>
            </w:r>
          </w:p>
          <w:p w:rsidR="00C032BB" w:rsidRPr="0097191E" w:rsidRDefault="00C032BB" w:rsidP="008C6625">
            <w:pPr>
              <w:rPr>
                <w:rFonts w:cstheme="minorHAnsi"/>
                <w:sz w:val="18"/>
                <w:szCs w:val="18"/>
              </w:rPr>
            </w:pPr>
            <w:r w:rsidRPr="0097191E">
              <w:rPr>
                <w:rFonts w:cstheme="minorHAnsi"/>
                <w:sz w:val="18"/>
                <w:szCs w:val="18"/>
              </w:rPr>
              <w:t>No nails or bracing wires used in erecting displays may be attached to the building.  All property destroyed or damaged by exhibitors must be replaced to its original condition by the exhibitor or at the exhibitor’s expense.</w:t>
            </w:r>
          </w:p>
          <w:p w:rsidR="00C032BB" w:rsidRPr="0097191E" w:rsidRDefault="00C032BB" w:rsidP="008C6625">
            <w:pPr>
              <w:rPr>
                <w:rFonts w:cstheme="minorHAnsi"/>
                <w:sz w:val="10"/>
                <w:szCs w:val="10"/>
              </w:rPr>
            </w:pPr>
          </w:p>
          <w:p w:rsidR="00C032BB" w:rsidRPr="0097191E" w:rsidRDefault="00C032BB" w:rsidP="008C6625">
            <w:pPr>
              <w:rPr>
                <w:rFonts w:cstheme="minorHAnsi"/>
                <w:sz w:val="18"/>
                <w:szCs w:val="18"/>
              </w:rPr>
            </w:pPr>
            <w:r w:rsidRPr="0097191E">
              <w:rPr>
                <w:rFonts w:cstheme="minorHAnsi"/>
                <w:sz w:val="18"/>
                <w:szCs w:val="18"/>
              </w:rPr>
              <w:t>LIABILITY</w:t>
            </w:r>
          </w:p>
          <w:p w:rsidR="00C032BB" w:rsidRPr="0097191E" w:rsidRDefault="00C032BB" w:rsidP="008C6625">
            <w:pPr>
              <w:pStyle w:val="BodyText2"/>
              <w:rPr>
                <w:rFonts w:asciiTheme="minorHAnsi" w:hAnsiTheme="minorHAnsi" w:cstheme="minorHAnsi"/>
                <w:b w:val="0"/>
                <w:bCs w:val="0"/>
                <w:sz w:val="18"/>
                <w:szCs w:val="18"/>
              </w:rPr>
            </w:pPr>
            <w:r w:rsidRPr="0097191E">
              <w:rPr>
                <w:rFonts w:asciiTheme="minorHAnsi" w:hAnsiTheme="minorHAnsi" w:cstheme="minorHAnsi"/>
                <w:b w:val="0"/>
                <w:bCs w:val="0"/>
                <w:sz w:val="18"/>
                <w:szCs w:val="18"/>
              </w:rPr>
              <w:t>The Hotel will not be responsible for any injury, loss or damage that may occur to the exhibitor, the exhibitor’s employees or property, or to any other person, prior, during or subsequent to the period covered by the exhibit contract, provided said injury, loss, or damage is not caused by the willful negligence or wrongful act of an employee of the Hotel.  Each exhibitor expressly releases the Hotel from such liability and agrees to indemnify the Hotel against any and all claims for such injury, loss, or damage.</w:t>
            </w:r>
          </w:p>
          <w:p w:rsidR="00C032BB" w:rsidRPr="0097191E" w:rsidRDefault="00C032BB" w:rsidP="008C6625">
            <w:pPr>
              <w:rPr>
                <w:rFonts w:cstheme="minorHAnsi"/>
                <w:sz w:val="10"/>
                <w:szCs w:val="10"/>
              </w:rPr>
            </w:pPr>
          </w:p>
          <w:p w:rsidR="00C032BB" w:rsidRPr="0097191E" w:rsidRDefault="00C032BB" w:rsidP="008C6625">
            <w:pPr>
              <w:pStyle w:val="Heading4"/>
              <w:outlineLvl w:val="3"/>
              <w:rPr>
                <w:rFonts w:asciiTheme="minorHAnsi" w:hAnsiTheme="minorHAnsi" w:cstheme="minorHAnsi"/>
                <w:b w:val="0"/>
                <w:sz w:val="18"/>
                <w:szCs w:val="18"/>
              </w:rPr>
            </w:pPr>
            <w:r w:rsidRPr="0097191E">
              <w:rPr>
                <w:rFonts w:asciiTheme="minorHAnsi" w:hAnsiTheme="minorHAnsi" w:cstheme="minorHAnsi"/>
                <w:b w:val="0"/>
                <w:sz w:val="18"/>
                <w:szCs w:val="18"/>
              </w:rPr>
              <w:t>INSURANCE</w:t>
            </w:r>
          </w:p>
          <w:p w:rsidR="00C032BB" w:rsidRPr="000A4E1D" w:rsidRDefault="00C032BB" w:rsidP="008C6625">
            <w:pPr>
              <w:rPr>
                <w:rFonts w:cstheme="minorHAnsi"/>
                <w:sz w:val="18"/>
                <w:szCs w:val="18"/>
              </w:rPr>
            </w:pPr>
            <w:r w:rsidRPr="0097191E">
              <w:rPr>
                <w:rFonts w:cstheme="minorHAnsi"/>
                <w:sz w:val="18"/>
                <w:szCs w:val="18"/>
              </w:rPr>
              <w:t>Exhibitors who desire to carry insurance on their exhibits must place it at their own expense.</w:t>
            </w:r>
          </w:p>
        </w:tc>
      </w:tr>
    </w:tbl>
    <w:p w:rsidR="007C0350" w:rsidRDefault="007C0350" w:rsidP="007C0350">
      <w:pPr>
        <w:spacing w:after="0" w:line="240" w:lineRule="auto"/>
      </w:pPr>
    </w:p>
    <w:tbl>
      <w:tblPr>
        <w:tblStyle w:val="TableGrid"/>
        <w:tblW w:w="0" w:type="auto"/>
        <w:tblLook w:val="04A0" w:firstRow="1" w:lastRow="0" w:firstColumn="1" w:lastColumn="0" w:noHBand="0" w:noVBand="1"/>
      </w:tblPr>
      <w:tblGrid>
        <w:gridCol w:w="3664"/>
        <w:gridCol w:w="1164"/>
        <w:gridCol w:w="4748"/>
      </w:tblGrid>
      <w:tr w:rsidR="00C032BB" w:rsidRPr="0029716A" w:rsidTr="008C6625">
        <w:tc>
          <w:tcPr>
            <w:tcW w:w="10908" w:type="dxa"/>
            <w:gridSpan w:val="3"/>
            <w:tcBorders>
              <w:bottom w:val="single" w:sz="4" w:space="0" w:color="auto"/>
            </w:tcBorders>
            <w:shd w:val="clear" w:color="auto" w:fill="000000" w:themeFill="text1"/>
          </w:tcPr>
          <w:p w:rsidR="00C032BB" w:rsidRPr="0097191E" w:rsidRDefault="00C032BB" w:rsidP="008C6625">
            <w:pPr>
              <w:jc w:val="center"/>
              <w:rPr>
                <w:b/>
                <w:color w:val="FFFFFF" w:themeColor="background1"/>
                <w:sz w:val="32"/>
                <w:szCs w:val="32"/>
              </w:rPr>
            </w:pPr>
            <w:r>
              <w:rPr>
                <w:b/>
                <w:color w:val="FFFFFF" w:themeColor="background1"/>
                <w:sz w:val="32"/>
                <w:szCs w:val="32"/>
              </w:rPr>
              <w:t>INBOUND SHIPPING AND RECEIVING</w:t>
            </w:r>
          </w:p>
        </w:tc>
      </w:tr>
      <w:tr w:rsidR="00C032BB" w:rsidTr="008C6625">
        <w:tc>
          <w:tcPr>
            <w:tcW w:w="10908" w:type="dxa"/>
            <w:gridSpan w:val="3"/>
            <w:tcBorders>
              <w:bottom w:val="nil"/>
            </w:tcBorders>
          </w:tcPr>
          <w:p w:rsidR="00C032BB" w:rsidRDefault="00C032BB" w:rsidP="008C6625">
            <w:r>
              <w:t>Handling charges for packages are as follows:</w:t>
            </w:r>
          </w:p>
        </w:tc>
      </w:tr>
      <w:tr w:rsidR="00C032BB" w:rsidTr="008C6625">
        <w:tc>
          <w:tcPr>
            <w:tcW w:w="3978" w:type="dxa"/>
            <w:tcBorders>
              <w:top w:val="nil"/>
              <w:bottom w:val="nil"/>
              <w:right w:val="nil"/>
            </w:tcBorders>
          </w:tcPr>
          <w:p w:rsidR="00C032BB" w:rsidRDefault="00C032BB" w:rsidP="008C6625">
            <w:pPr>
              <w:ind w:left="720"/>
            </w:pPr>
            <w:r w:rsidRPr="0097191E">
              <w:rPr>
                <w:u w:val="single"/>
              </w:rPr>
              <w:t>Weight/Pounds</w:t>
            </w:r>
          </w:p>
        </w:tc>
        <w:tc>
          <w:tcPr>
            <w:tcW w:w="6930" w:type="dxa"/>
            <w:gridSpan w:val="2"/>
            <w:tcBorders>
              <w:top w:val="nil"/>
              <w:left w:val="nil"/>
              <w:bottom w:val="nil"/>
            </w:tcBorders>
          </w:tcPr>
          <w:p w:rsidR="00C032BB" w:rsidRDefault="00C032BB" w:rsidP="008C6625">
            <w:r w:rsidRPr="0097191E">
              <w:rPr>
                <w:u w:val="single"/>
              </w:rPr>
              <w:t>Charge</w:t>
            </w:r>
          </w:p>
        </w:tc>
      </w:tr>
      <w:tr w:rsidR="00C032BB" w:rsidTr="008C6625">
        <w:tc>
          <w:tcPr>
            <w:tcW w:w="3978" w:type="dxa"/>
            <w:tcBorders>
              <w:top w:val="nil"/>
              <w:bottom w:val="nil"/>
              <w:right w:val="nil"/>
            </w:tcBorders>
          </w:tcPr>
          <w:p w:rsidR="00C032BB" w:rsidRDefault="00C032BB" w:rsidP="008C6625">
            <w:pPr>
              <w:ind w:left="720"/>
            </w:pPr>
            <w:r>
              <w:t>Five boxes or less</w:t>
            </w:r>
          </w:p>
        </w:tc>
        <w:tc>
          <w:tcPr>
            <w:tcW w:w="6930" w:type="dxa"/>
            <w:gridSpan w:val="2"/>
            <w:tcBorders>
              <w:top w:val="nil"/>
              <w:left w:val="nil"/>
              <w:bottom w:val="nil"/>
            </w:tcBorders>
          </w:tcPr>
          <w:p w:rsidR="00C032BB" w:rsidRDefault="00C032BB" w:rsidP="008C6625">
            <w:r>
              <w:t>$5.00/Box</w:t>
            </w:r>
          </w:p>
        </w:tc>
      </w:tr>
      <w:tr w:rsidR="00C032BB" w:rsidTr="008C6625">
        <w:tc>
          <w:tcPr>
            <w:tcW w:w="3978" w:type="dxa"/>
            <w:tcBorders>
              <w:top w:val="nil"/>
              <w:bottom w:val="nil"/>
              <w:right w:val="nil"/>
            </w:tcBorders>
          </w:tcPr>
          <w:p w:rsidR="00C032BB" w:rsidRDefault="00C032BB" w:rsidP="008C6625">
            <w:pPr>
              <w:ind w:left="720"/>
            </w:pPr>
            <w:r>
              <w:t>6-10 Boxes</w:t>
            </w:r>
          </w:p>
        </w:tc>
        <w:tc>
          <w:tcPr>
            <w:tcW w:w="6930" w:type="dxa"/>
            <w:gridSpan w:val="2"/>
            <w:tcBorders>
              <w:top w:val="nil"/>
              <w:left w:val="nil"/>
              <w:bottom w:val="nil"/>
            </w:tcBorders>
          </w:tcPr>
          <w:p w:rsidR="00C032BB" w:rsidRDefault="00C032BB" w:rsidP="008C6625">
            <w:r>
              <w:t>$50.00</w:t>
            </w:r>
          </w:p>
        </w:tc>
      </w:tr>
      <w:tr w:rsidR="00C032BB" w:rsidTr="008C6625">
        <w:tc>
          <w:tcPr>
            <w:tcW w:w="3978" w:type="dxa"/>
            <w:tcBorders>
              <w:top w:val="nil"/>
              <w:bottom w:val="nil"/>
              <w:right w:val="nil"/>
            </w:tcBorders>
          </w:tcPr>
          <w:p w:rsidR="00C032BB" w:rsidRDefault="00C032BB" w:rsidP="008C6625">
            <w:pPr>
              <w:ind w:left="720"/>
            </w:pPr>
            <w:r>
              <w:t>11-20 Boxes</w:t>
            </w:r>
          </w:p>
        </w:tc>
        <w:tc>
          <w:tcPr>
            <w:tcW w:w="6930" w:type="dxa"/>
            <w:gridSpan w:val="2"/>
            <w:tcBorders>
              <w:top w:val="nil"/>
              <w:left w:val="nil"/>
              <w:bottom w:val="nil"/>
            </w:tcBorders>
          </w:tcPr>
          <w:p w:rsidR="00C032BB" w:rsidRDefault="00C032BB" w:rsidP="008C6625">
            <w:r>
              <w:t>$100.00</w:t>
            </w:r>
          </w:p>
        </w:tc>
      </w:tr>
      <w:tr w:rsidR="00C032BB" w:rsidTr="008C6625">
        <w:tc>
          <w:tcPr>
            <w:tcW w:w="3978" w:type="dxa"/>
            <w:tcBorders>
              <w:top w:val="nil"/>
              <w:bottom w:val="nil"/>
              <w:right w:val="nil"/>
            </w:tcBorders>
          </w:tcPr>
          <w:p w:rsidR="00C032BB" w:rsidRDefault="00C032BB" w:rsidP="008C6625">
            <w:pPr>
              <w:ind w:left="720"/>
            </w:pPr>
            <w:r>
              <w:t>21-30 Boxes</w:t>
            </w:r>
          </w:p>
        </w:tc>
        <w:tc>
          <w:tcPr>
            <w:tcW w:w="6930" w:type="dxa"/>
            <w:gridSpan w:val="2"/>
            <w:tcBorders>
              <w:top w:val="nil"/>
              <w:left w:val="nil"/>
              <w:bottom w:val="nil"/>
            </w:tcBorders>
          </w:tcPr>
          <w:p w:rsidR="00C032BB" w:rsidRDefault="00C032BB" w:rsidP="008C6625">
            <w:r>
              <w:t>$250.00</w:t>
            </w:r>
          </w:p>
        </w:tc>
      </w:tr>
      <w:tr w:rsidR="00C032BB" w:rsidTr="008C6625">
        <w:tc>
          <w:tcPr>
            <w:tcW w:w="3978" w:type="dxa"/>
            <w:tcBorders>
              <w:top w:val="nil"/>
              <w:bottom w:val="nil"/>
              <w:right w:val="nil"/>
            </w:tcBorders>
          </w:tcPr>
          <w:p w:rsidR="00C032BB" w:rsidRDefault="002012AF" w:rsidP="008C6625">
            <w:pPr>
              <w:ind w:left="720"/>
            </w:pPr>
            <w:r>
              <w:t>31-4</w:t>
            </w:r>
            <w:r w:rsidR="00C032BB">
              <w:t>0 Boxes</w:t>
            </w:r>
          </w:p>
        </w:tc>
        <w:tc>
          <w:tcPr>
            <w:tcW w:w="6930" w:type="dxa"/>
            <w:gridSpan w:val="2"/>
            <w:tcBorders>
              <w:top w:val="nil"/>
              <w:left w:val="nil"/>
              <w:bottom w:val="nil"/>
            </w:tcBorders>
          </w:tcPr>
          <w:p w:rsidR="002012AF" w:rsidRDefault="00C032BB" w:rsidP="002012AF">
            <w:r>
              <w:t>$</w:t>
            </w:r>
            <w:r w:rsidR="002012AF">
              <w:t>350.00</w:t>
            </w:r>
          </w:p>
        </w:tc>
      </w:tr>
      <w:tr w:rsidR="002012AF" w:rsidTr="008C6625">
        <w:tc>
          <w:tcPr>
            <w:tcW w:w="3978" w:type="dxa"/>
            <w:tcBorders>
              <w:top w:val="nil"/>
              <w:bottom w:val="nil"/>
              <w:right w:val="nil"/>
            </w:tcBorders>
          </w:tcPr>
          <w:p w:rsidR="002012AF" w:rsidRDefault="002012AF" w:rsidP="008C6625">
            <w:pPr>
              <w:ind w:left="720"/>
            </w:pPr>
            <w:r>
              <w:t>41-50 Boxes</w:t>
            </w:r>
          </w:p>
        </w:tc>
        <w:tc>
          <w:tcPr>
            <w:tcW w:w="6930" w:type="dxa"/>
            <w:gridSpan w:val="2"/>
            <w:tcBorders>
              <w:top w:val="nil"/>
              <w:left w:val="nil"/>
              <w:bottom w:val="nil"/>
            </w:tcBorders>
          </w:tcPr>
          <w:p w:rsidR="002012AF" w:rsidRDefault="002012AF" w:rsidP="002012AF">
            <w:r>
              <w:t>$500.00</w:t>
            </w:r>
          </w:p>
        </w:tc>
      </w:tr>
      <w:tr w:rsidR="00C032BB" w:rsidTr="008C6625">
        <w:tc>
          <w:tcPr>
            <w:tcW w:w="3978" w:type="dxa"/>
            <w:tcBorders>
              <w:top w:val="nil"/>
              <w:bottom w:val="nil"/>
              <w:right w:val="nil"/>
            </w:tcBorders>
          </w:tcPr>
          <w:p w:rsidR="00C032BB" w:rsidRDefault="00C032BB" w:rsidP="008C6625">
            <w:pPr>
              <w:ind w:left="720"/>
            </w:pPr>
            <w:r>
              <w:t>51+ Boxes</w:t>
            </w:r>
          </w:p>
        </w:tc>
        <w:tc>
          <w:tcPr>
            <w:tcW w:w="6930" w:type="dxa"/>
            <w:gridSpan w:val="2"/>
            <w:tcBorders>
              <w:top w:val="nil"/>
              <w:left w:val="nil"/>
              <w:bottom w:val="nil"/>
            </w:tcBorders>
          </w:tcPr>
          <w:p w:rsidR="00C032BB" w:rsidRDefault="00C032BB" w:rsidP="008C6625">
            <w:r>
              <w:t>Amount determined by Event Planning Manager</w:t>
            </w:r>
          </w:p>
        </w:tc>
      </w:tr>
      <w:tr w:rsidR="00C032BB" w:rsidTr="008C6625">
        <w:tc>
          <w:tcPr>
            <w:tcW w:w="3978" w:type="dxa"/>
            <w:tcBorders>
              <w:top w:val="nil"/>
              <w:bottom w:val="nil"/>
              <w:right w:val="nil"/>
            </w:tcBorders>
          </w:tcPr>
          <w:p w:rsidR="00C032BB" w:rsidRDefault="00C032BB" w:rsidP="008C6625">
            <w:pPr>
              <w:ind w:left="720"/>
            </w:pPr>
            <w:r>
              <w:t>Flat Rate for Pallet</w:t>
            </w:r>
          </w:p>
        </w:tc>
        <w:tc>
          <w:tcPr>
            <w:tcW w:w="6930" w:type="dxa"/>
            <w:gridSpan w:val="2"/>
            <w:tcBorders>
              <w:top w:val="nil"/>
              <w:left w:val="nil"/>
              <w:bottom w:val="nil"/>
            </w:tcBorders>
          </w:tcPr>
          <w:p w:rsidR="00C032BB" w:rsidRDefault="00C032BB" w:rsidP="008C6625">
            <w:r>
              <w:t>$275.00/each</w:t>
            </w:r>
          </w:p>
        </w:tc>
      </w:tr>
      <w:tr w:rsidR="00C032BB" w:rsidTr="008C6625">
        <w:tc>
          <w:tcPr>
            <w:tcW w:w="3978" w:type="dxa"/>
            <w:tcBorders>
              <w:top w:val="nil"/>
              <w:bottom w:val="nil"/>
              <w:right w:val="nil"/>
            </w:tcBorders>
          </w:tcPr>
          <w:p w:rsidR="00C032BB" w:rsidRDefault="00C032BB" w:rsidP="008C6625">
            <w:pPr>
              <w:ind w:left="720"/>
            </w:pPr>
            <w:r>
              <w:t>Rolling Cargo Case</w:t>
            </w:r>
          </w:p>
        </w:tc>
        <w:tc>
          <w:tcPr>
            <w:tcW w:w="6930" w:type="dxa"/>
            <w:gridSpan w:val="2"/>
            <w:tcBorders>
              <w:top w:val="nil"/>
              <w:left w:val="nil"/>
              <w:bottom w:val="nil"/>
            </w:tcBorders>
          </w:tcPr>
          <w:p w:rsidR="00C032BB" w:rsidRDefault="00C032BB" w:rsidP="008C6625">
            <w:r>
              <w:t>$100.00/each</w:t>
            </w:r>
          </w:p>
        </w:tc>
      </w:tr>
      <w:tr w:rsidR="00C032BB" w:rsidTr="008C6625">
        <w:tc>
          <w:tcPr>
            <w:tcW w:w="10908" w:type="dxa"/>
            <w:gridSpan w:val="3"/>
            <w:tcBorders>
              <w:top w:val="nil"/>
              <w:bottom w:val="nil"/>
            </w:tcBorders>
          </w:tcPr>
          <w:p w:rsidR="00C032BB" w:rsidRDefault="00C032BB" w:rsidP="008C6625"/>
          <w:p w:rsidR="00C032BB" w:rsidRDefault="00C032BB" w:rsidP="008C6625">
            <w:r>
              <w:t>Storage charges for packages are as follows:</w:t>
            </w:r>
          </w:p>
        </w:tc>
      </w:tr>
      <w:tr w:rsidR="00C032BB" w:rsidTr="008C6625">
        <w:tc>
          <w:tcPr>
            <w:tcW w:w="3978" w:type="dxa"/>
            <w:tcBorders>
              <w:top w:val="nil"/>
              <w:bottom w:val="nil"/>
              <w:right w:val="nil"/>
            </w:tcBorders>
          </w:tcPr>
          <w:p w:rsidR="00C032BB" w:rsidRDefault="00C032BB" w:rsidP="008C6625">
            <w:pPr>
              <w:ind w:left="720"/>
            </w:pPr>
            <w:r>
              <w:t>Days</w:t>
            </w:r>
          </w:p>
        </w:tc>
        <w:tc>
          <w:tcPr>
            <w:tcW w:w="6930" w:type="dxa"/>
            <w:gridSpan w:val="2"/>
            <w:tcBorders>
              <w:top w:val="nil"/>
              <w:left w:val="nil"/>
              <w:bottom w:val="nil"/>
            </w:tcBorders>
          </w:tcPr>
          <w:p w:rsidR="00C032BB" w:rsidRDefault="00C032BB" w:rsidP="008C6625">
            <w:r>
              <w:t>Charge</w:t>
            </w:r>
          </w:p>
        </w:tc>
      </w:tr>
      <w:tr w:rsidR="00C032BB" w:rsidTr="008C6625">
        <w:trPr>
          <w:trHeight w:val="315"/>
        </w:trPr>
        <w:tc>
          <w:tcPr>
            <w:tcW w:w="3978" w:type="dxa"/>
            <w:tcBorders>
              <w:top w:val="nil"/>
              <w:bottom w:val="nil"/>
              <w:right w:val="nil"/>
            </w:tcBorders>
          </w:tcPr>
          <w:p w:rsidR="00C032BB" w:rsidRDefault="00C032BB" w:rsidP="008C6625">
            <w:pPr>
              <w:ind w:left="720"/>
            </w:pPr>
            <w:r>
              <w:t>0-2 days prior to event date</w:t>
            </w:r>
          </w:p>
        </w:tc>
        <w:tc>
          <w:tcPr>
            <w:tcW w:w="6930" w:type="dxa"/>
            <w:gridSpan w:val="2"/>
            <w:tcBorders>
              <w:top w:val="nil"/>
              <w:left w:val="nil"/>
              <w:bottom w:val="nil"/>
            </w:tcBorders>
          </w:tcPr>
          <w:p w:rsidR="00C032BB" w:rsidRDefault="00C032BB" w:rsidP="008C6625">
            <w:r>
              <w:t>Complimentary</w:t>
            </w:r>
          </w:p>
        </w:tc>
      </w:tr>
      <w:tr w:rsidR="00C032BB" w:rsidTr="008C6625">
        <w:tc>
          <w:tcPr>
            <w:tcW w:w="3978" w:type="dxa"/>
            <w:tcBorders>
              <w:top w:val="nil"/>
              <w:bottom w:val="nil"/>
              <w:right w:val="nil"/>
            </w:tcBorders>
          </w:tcPr>
          <w:p w:rsidR="00C032BB" w:rsidRDefault="00C032BB" w:rsidP="008C6625">
            <w:pPr>
              <w:ind w:left="720"/>
            </w:pPr>
            <w:r>
              <w:t>3-5 days prior to event date</w:t>
            </w:r>
          </w:p>
        </w:tc>
        <w:tc>
          <w:tcPr>
            <w:tcW w:w="6930" w:type="dxa"/>
            <w:gridSpan w:val="2"/>
            <w:tcBorders>
              <w:top w:val="nil"/>
              <w:left w:val="nil"/>
              <w:bottom w:val="nil"/>
            </w:tcBorders>
          </w:tcPr>
          <w:p w:rsidR="00C032BB" w:rsidRDefault="00C032BB" w:rsidP="008C6625">
            <w:r>
              <w:t>$50.00</w:t>
            </w:r>
          </w:p>
        </w:tc>
      </w:tr>
      <w:tr w:rsidR="00C032BB" w:rsidTr="008C6625">
        <w:tc>
          <w:tcPr>
            <w:tcW w:w="3978" w:type="dxa"/>
            <w:tcBorders>
              <w:top w:val="nil"/>
              <w:bottom w:val="nil"/>
              <w:right w:val="nil"/>
            </w:tcBorders>
          </w:tcPr>
          <w:p w:rsidR="00C032BB" w:rsidRDefault="00C032BB" w:rsidP="008C6625">
            <w:pPr>
              <w:ind w:left="720"/>
            </w:pPr>
            <w:r>
              <w:t>6-10 days prior to event date</w:t>
            </w:r>
          </w:p>
        </w:tc>
        <w:tc>
          <w:tcPr>
            <w:tcW w:w="6930" w:type="dxa"/>
            <w:gridSpan w:val="2"/>
            <w:tcBorders>
              <w:top w:val="nil"/>
              <w:left w:val="nil"/>
              <w:bottom w:val="nil"/>
            </w:tcBorders>
          </w:tcPr>
          <w:p w:rsidR="00C032BB" w:rsidRDefault="00C032BB" w:rsidP="008C6625">
            <w:r>
              <w:t>$75.00</w:t>
            </w:r>
          </w:p>
        </w:tc>
      </w:tr>
      <w:tr w:rsidR="00C032BB" w:rsidTr="008C6625">
        <w:tc>
          <w:tcPr>
            <w:tcW w:w="10908" w:type="dxa"/>
            <w:gridSpan w:val="3"/>
            <w:tcBorders>
              <w:top w:val="nil"/>
              <w:bottom w:val="nil"/>
            </w:tcBorders>
          </w:tcPr>
          <w:p w:rsidR="00C032BB" w:rsidRDefault="00C032BB" w:rsidP="008C6625"/>
          <w:p w:rsidR="00C032BB" w:rsidRDefault="00C032BB" w:rsidP="008C6625">
            <w:r>
              <w:t xml:space="preserve">NOTE: </w:t>
            </w:r>
          </w:p>
          <w:p w:rsidR="00C032BB" w:rsidRDefault="00C032BB" w:rsidP="008C6625">
            <w:r>
              <w:t>*Any other special deliveries must be approved prior to shipping by the group assigned event planning manager.</w:t>
            </w:r>
          </w:p>
          <w:p w:rsidR="00C032BB" w:rsidRDefault="00C032BB" w:rsidP="002012AF">
            <w:r>
              <w:t>*</w:t>
            </w:r>
            <w:r w:rsidR="002012AF">
              <w:t>8.025% Sales Tax applies to all shipping/receiving fees.</w:t>
            </w:r>
          </w:p>
        </w:tc>
      </w:tr>
      <w:tr w:rsidR="00C032BB" w:rsidTr="008C6625">
        <w:tc>
          <w:tcPr>
            <w:tcW w:w="10908" w:type="dxa"/>
            <w:gridSpan w:val="3"/>
            <w:tcBorders>
              <w:top w:val="nil"/>
              <w:bottom w:val="nil"/>
            </w:tcBorders>
          </w:tcPr>
          <w:p w:rsidR="00C032BB" w:rsidRDefault="00C032BB" w:rsidP="008C6625"/>
          <w:p w:rsidR="00C032BB" w:rsidRDefault="00C032BB" w:rsidP="008C6625">
            <w:r>
              <w:t>All materials being sent to the hotel must be marked as follows:</w:t>
            </w:r>
          </w:p>
        </w:tc>
      </w:tr>
      <w:tr w:rsidR="00C032BB" w:rsidTr="008C6625">
        <w:tc>
          <w:tcPr>
            <w:tcW w:w="5328" w:type="dxa"/>
            <w:gridSpan w:val="2"/>
            <w:tcBorders>
              <w:top w:val="nil"/>
              <w:bottom w:val="nil"/>
              <w:right w:val="nil"/>
            </w:tcBorders>
          </w:tcPr>
          <w:p w:rsidR="00C032BB" w:rsidRDefault="00C032BB" w:rsidP="00C032BB">
            <w:pPr>
              <w:pStyle w:val="ListParagraph"/>
              <w:numPr>
                <w:ilvl w:val="0"/>
                <w:numId w:val="2"/>
              </w:numPr>
            </w:pPr>
            <w:r>
              <w:t>Hold for Arrival</w:t>
            </w:r>
          </w:p>
          <w:p w:rsidR="00C032BB" w:rsidRDefault="00C032BB" w:rsidP="00C032BB">
            <w:pPr>
              <w:pStyle w:val="ListParagraph"/>
              <w:numPr>
                <w:ilvl w:val="0"/>
                <w:numId w:val="2"/>
              </w:numPr>
            </w:pPr>
            <w:r>
              <w:t>Attn: Guest’s Name &amp; Organization</w:t>
            </w:r>
          </w:p>
          <w:p w:rsidR="00C032BB" w:rsidRDefault="00C032BB" w:rsidP="00C032BB">
            <w:pPr>
              <w:pStyle w:val="ListParagraph"/>
              <w:numPr>
                <w:ilvl w:val="0"/>
                <w:numId w:val="2"/>
              </w:numPr>
            </w:pPr>
            <w:r>
              <w:t>Conference Name</w:t>
            </w:r>
          </w:p>
          <w:p w:rsidR="00C032BB" w:rsidRDefault="00C032BB" w:rsidP="00C032BB">
            <w:pPr>
              <w:pStyle w:val="ListParagraph"/>
              <w:numPr>
                <w:ilvl w:val="0"/>
                <w:numId w:val="2"/>
              </w:numPr>
            </w:pPr>
            <w:r>
              <w:t>Arrival Date</w:t>
            </w:r>
          </w:p>
          <w:p w:rsidR="00C032BB" w:rsidRDefault="00C032BB" w:rsidP="00C032BB">
            <w:pPr>
              <w:pStyle w:val="ListParagraph"/>
              <w:numPr>
                <w:ilvl w:val="0"/>
                <w:numId w:val="2"/>
              </w:numPr>
            </w:pPr>
            <w:r>
              <w:t>Complete Return Address</w:t>
            </w:r>
          </w:p>
          <w:p w:rsidR="00C032BB" w:rsidRDefault="00C032BB" w:rsidP="00C032BB">
            <w:pPr>
              <w:pStyle w:val="ListParagraph"/>
              <w:numPr>
                <w:ilvl w:val="0"/>
                <w:numId w:val="2"/>
              </w:numPr>
            </w:pPr>
            <w:r>
              <w:t xml:space="preserve">Hyatt Events Manager: </w:t>
            </w:r>
            <w:r w:rsidR="00AD3AA3">
              <w:t>Amanda Halvorson</w:t>
            </w:r>
          </w:p>
          <w:p w:rsidR="00C032BB" w:rsidRDefault="00C032BB" w:rsidP="00C032BB">
            <w:pPr>
              <w:pStyle w:val="ListParagraph"/>
              <w:numPr>
                <w:ilvl w:val="0"/>
                <w:numId w:val="2"/>
              </w:numPr>
            </w:pPr>
            <w:r>
              <w:t xml:space="preserve">Number of Boxes (i.e. box 1 of 1, box 1 of 2, </w:t>
            </w:r>
            <w:proofErr w:type="spellStart"/>
            <w:r>
              <w:t>etc</w:t>
            </w:r>
            <w:proofErr w:type="spellEnd"/>
            <w:r>
              <w:t>)</w:t>
            </w:r>
          </w:p>
        </w:tc>
        <w:tc>
          <w:tcPr>
            <w:tcW w:w="5580" w:type="dxa"/>
            <w:tcBorders>
              <w:top w:val="nil"/>
              <w:left w:val="nil"/>
              <w:bottom w:val="nil"/>
            </w:tcBorders>
          </w:tcPr>
          <w:p w:rsidR="00C032BB" w:rsidRDefault="00C032BB" w:rsidP="008C6625"/>
        </w:tc>
      </w:tr>
      <w:tr w:rsidR="00C032BB" w:rsidTr="008C6625">
        <w:tc>
          <w:tcPr>
            <w:tcW w:w="10908" w:type="dxa"/>
            <w:gridSpan w:val="3"/>
            <w:tcBorders>
              <w:top w:val="nil"/>
              <w:bottom w:val="nil"/>
            </w:tcBorders>
          </w:tcPr>
          <w:p w:rsidR="00C032BB" w:rsidRDefault="00C032BB" w:rsidP="008C6625"/>
          <w:p w:rsidR="00C032BB" w:rsidRDefault="00C032BB" w:rsidP="008C6625">
            <w:r>
              <w:t>Packages to hotel are to be addressed as follows:</w:t>
            </w:r>
          </w:p>
        </w:tc>
      </w:tr>
      <w:tr w:rsidR="00C032BB" w:rsidTr="008C6625">
        <w:tc>
          <w:tcPr>
            <w:tcW w:w="10908" w:type="dxa"/>
            <w:gridSpan w:val="3"/>
            <w:tcBorders>
              <w:top w:val="nil"/>
              <w:bottom w:val="nil"/>
            </w:tcBorders>
          </w:tcPr>
          <w:p w:rsidR="00C032BB" w:rsidRDefault="00C032BB" w:rsidP="008C6625">
            <w:pPr>
              <w:ind w:left="720"/>
            </w:pPr>
            <w:r>
              <w:t>Receiving Department</w:t>
            </w:r>
          </w:p>
          <w:p w:rsidR="00C032BB" w:rsidRDefault="00C032BB" w:rsidP="008C6625">
            <w:pPr>
              <w:ind w:left="720"/>
            </w:pPr>
            <w:r>
              <w:t>Hyatt Regency Minneapolis</w:t>
            </w:r>
          </w:p>
          <w:p w:rsidR="00C032BB" w:rsidRDefault="00C032BB" w:rsidP="008C6625">
            <w:pPr>
              <w:ind w:left="720"/>
            </w:pPr>
            <w:r>
              <w:t>1300 Nicollet Mall</w:t>
            </w:r>
          </w:p>
          <w:p w:rsidR="00C032BB" w:rsidRDefault="00C032BB" w:rsidP="008C6625">
            <w:pPr>
              <w:ind w:left="720"/>
            </w:pPr>
            <w:r>
              <w:t>Minneapolis, MN 55403</w:t>
            </w:r>
          </w:p>
        </w:tc>
      </w:tr>
      <w:tr w:rsidR="00C032BB" w:rsidTr="008C6625">
        <w:tc>
          <w:tcPr>
            <w:tcW w:w="10908" w:type="dxa"/>
            <w:gridSpan w:val="3"/>
            <w:tcBorders>
              <w:top w:val="nil"/>
            </w:tcBorders>
          </w:tcPr>
          <w:p w:rsidR="00C032BB" w:rsidRDefault="00C032BB" w:rsidP="008C6625"/>
          <w:p w:rsidR="00C032BB" w:rsidRDefault="00C032BB" w:rsidP="008C6625">
            <w:r>
              <w:t>Arrival of shipments is limited to no sooner than two (2) working days from the first day of the event</w:t>
            </w:r>
          </w:p>
        </w:tc>
      </w:tr>
    </w:tbl>
    <w:p w:rsidR="00C032BB" w:rsidRDefault="00C032BB" w:rsidP="007C0350">
      <w:pPr>
        <w:spacing w:after="0" w:line="240" w:lineRule="auto"/>
      </w:pPr>
    </w:p>
    <w:p w:rsidR="002012AF" w:rsidRDefault="002012AF" w:rsidP="007C0350">
      <w:pPr>
        <w:spacing w:after="0" w:line="240" w:lineRule="auto"/>
      </w:pPr>
    </w:p>
    <w:p w:rsidR="002012AF" w:rsidRDefault="002012AF" w:rsidP="007C0350">
      <w:pPr>
        <w:spacing w:after="0" w:line="240" w:lineRule="auto"/>
      </w:pPr>
    </w:p>
    <w:p w:rsidR="002012AF" w:rsidRDefault="002012AF" w:rsidP="007C0350">
      <w:pPr>
        <w:spacing w:after="0" w:line="240" w:lineRule="auto"/>
      </w:pPr>
    </w:p>
    <w:tbl>
      <w:tblPr>
        <w:tblStyle w:val="TableGrid"/>
        <w:tblW w:w="0" w:type="auto"/>
        <w:tblLook w:val="04A0" w:firstRow="1" w:lastRow="0" w:firstColumn="1" w:lastColumn="0" w:noHBand="0" w:noVBand="1"/>
      </w:tblPr>
      <w:tblGrid>
        <w:gridCol w:w="9576"/>
      </w:tblGrid>
      <w:tr w:rsidR="00C032BB" w:rsidRPr="0029716A" w:rsidTr="008C6625">
        <w:tc>
          <w:tcPr>
            <w:tcW w:w="10908" w:type="dxa"/>
            <w:tcBorders>
              <w:bottom w:val="single" w:sz="4" w:space="0" w:color="auto"/>
            </w:tcBorders>
            <w:shd w:val="clear" w:color="auto" w:fill="000000" w:themeFill="text1"/>
          </w:tcPr>
          <w:p w:rsidR="00C032BB" w:rsidRPr="0097191E" w:rsidRDefault="00C032BB" w:rsidP="008C6625">
            <w:pPr>
              <w:jc w:val="center"/>
              <w:rPr>
                <w:b/>
                <w:color w:val="FFFFFF" w:themeColor="background1"/>
                <w:sz w:val="32"/>
                <w:szCs w:val="32"/>
              </w:rPr>
            </w:pPr>
            <w:r>
              <w:rPr>
                <w:b/>
                <w:color w:val="FFFFFF" w:themeColor="background1"/>
                <w:sz w:val="32"/>
                <w:szCs w:val="32"/>
              </w:rPr>
              <w:lastRenderedPageBreak/>
              <w:t>OUTBOUND SHIPPING</w:t>
            </w:r>
          </w:p>
        </w:tc>
      </w:tr>
      <w:tr w:rsidR="00C032BB" w:rsidTr="00C032BB">
        <w:tc>
          <w:tcPr>
            <w:tcW w:w="10908" w:type="dxa"/>
            <w:tcBorders>
              <w:bottom w:val="nil"/>
            </w:tcBorders>
          </w:tcPr>
          <w:p w:rsidR="00C032BB" w:rsidRDefault="00C032BB" w:rsidP="008C6625">
            <w:r>
              <w:t>Departure of shipments can be arranged through the hotel:</w:t>
            </w:r>
          </w:p>
          <w:p w:rsidR="00C032BB" w:rsidRDefault="00C032BB" w:rsidP="00C032BB">
            <w:pPr>
              <w:pStyle w:val="ListParagraph"/>
              <w:numPr>
                <w:ilvl w:val="0"/>
                <w:numId w:val="3"/>
              </w:numPr>
            </w:pPr>
            <w:r>
              <w:t>All boxes must be sealed properly.</w:t>
            </w:r>
          </w:p>
          <w:p w:rsidR="00C032BB" w:rsidRDefault="00C032BB" w:rsidP="00C032BB">
            <w:pPr>
              <w:pStyle w:val="ListParagraph"/>
              <w:numPr>
                <w:ilvl w:val="0"/>
                <w:numId w:val="3"/>
              </w:numPr>
            </w:pPr>
            <w:r>
              <w:t>All boxes must contain a secured shipping label with proper address information and account number.</w:t>
            </w:r>
          </w:p>
          <w:p w:rsidR="00C032BB" w:rsidRDefault="00C032BB" w:rsidP="00C032BB">
            <w:pPr>
              <w:pStyle w:val="ListParagraph"/>
              <w:numPr>
                <w:ilvl w:val="0"/>
                <w:numId w:val="3"/>
              </w:numPr>
            </w:pPr>
            <w:r>
              <w:t>Packages can remain at booth and the hotel staff will deliver them to the loading dock for outbound shipment.</w:t>
            </w:r>
          </w:p>
          <w:p w:rsidR="00C032BB" w:rsidRDefault="00C032BB" w:rsidP="00C032BB">
            <w:pPr>
              <w:pStyle w:val="ListParagraph"/>
              <w:numPr>
                <w:ilvl w:val="0"/>
                <w:numId w:val="3"/>
              </w:numPr>
            </w:pPr>
            <w:r>
              <w:t>No packages will be delivered for outbound shipment if they are not sealed and properly labeled.  The hotel is not responsible for arrangements of this matter.</w:t>
            </w:r>
          </w:p>
        </w:tc>
      </w:tr>
      <w:tr w:rsidR="00C032BB" w:rsidTr="00C032BB">
        <w:tc>
          <w:tcPr>
            <w:tcW w:w="10908" w:type="dxa"/>
            <w:tcBorders>
              <w:top w:val="nil"/>
              <w:bottom w:val="single" w:sz="4" w:space="0" w:color="auto"/>
            </w:tcBorders>
          </w:tcPr>
          <w:p w:rsidR="00C032BB" w:rsidRDefault="00C032BB" w:rsidP="008C6625"/>
          <w:p w:rsidR="00C032BB" w:rsidRDefault="00C032BB" w:rsidP="008C6625">
            <w:r>
              <w:t>Departure of shipments can also be arranged through the FedEx/</w:t>
            </w:r>
            <w:proofErr w:type="spellStart"/>
            <w:r>
              <w:t>Kinkos</w:t>
            </w:r>
            <w:proofErr w:type="spellEnd"/>
            <w:r>
              <w:t xml:space="preserve"> Office:</w:t>
            </w:r>
          </w:p>
          <w:p w:rsidR="00C032BB" w:rsidRDefault="00C032BB" w:rsidP="00C032BB">
            <w:pPr>
              <w:pStyle w:val="ListParagraph"/>
              <w:numPr>
                <w:ilvl w:val="0"/>
                <w:numId w:val="4"/>
              </w:numPr>
            </w:pPr>
            <w:r>
              <w:t>FedEx Office is located on the 2</w:t>
            </w:r>
            <w:r w:rsidRPr="00D66A16">
              <w:rPr>
                <w:vertAlign w:val="superscript"/>
              </w:rPr>
              <w:t>nd</w:t>
            </w:r>
            <w:r>
              <w:t xml:space="preserve"> floor of the hotel.</w:t>
            </w:r>
          </w:p>
          <w:p w:rsidR="00C032BB" w:rsidRDefault="00C032BB" w:rsidP="00C032BB">
            <w:pPr>
              <w:pStyle w:val="ListParagraph"/>
              <w:numPr>
                <w:ilvl w:val="0"/>
                <w:numId w:val="4"/>
              </w:numPr>
            </w:pPr>
            <w:r>
              <w:t>Open Monday – Friday from 8:00am – 5:00pm</w:t>
            </w:r>
          </w:p>
          <w:p w:rsidR="00C032BB" w:rsidRDefault="00C032BB" w:rsidP="00C032BB">
            <w:pPr>
              <w:pStyle w:val="ListParagraph"/>
              <w:numPr>
                <w:ilvl w:val="0"/>
                <w:numId w:val="4"/>
              </w:numPr>
            </w:pPr>
            <w:r>
              <w:t>To make arrangements, call #612-339-5641</w:t>
            </w:r>
          </w:p>
        </w:tc>
      </w:tr>
    </w:tbl>
    <w:p w:rsidR="00C032BB" w:rsidRDefault="00C032BB" w:rsidP="007C0350">
      <w:pPr>
        <w:spacing w:after="0" w:line="240" w:lineRule="auto"/>
      </w:pPr>
    </w:p>
    <w:p w:rsidR="00C032BB" w:rsidRDefault="00C032BB" w:rsidP="007C0350">
      <w:pPr>
        <w:spacing w:after="0" w:line="240" w:lineRule="auto"/>
      </w:pPr>
    </w:p>
    <w:tbl>
      <w:tblPr>
        <w:tblStyle w:val="TableGrid"/>
        <w:tblW w:w="0" w:type="auto"/>
        <w:tblLook w:val="04A0" w:firstRow="1" w:lastRow="0" w:firstColumn="1" w:lastColumn="0" w:noHBand="0" w:noVBand="1"/>
      </w:tblPr>
      <w:tblGrid>
        <w:gridCol w:w="2435"/>
        <w:gridCol w:w="7141"/>
      </w:tblGrid>
      <w:tr w:rsidR="00C032BB" w:rsidRPr="0029716A" w:rsidTr="008C6625">
        <w:tc>
          <w:tcPr>
            <w:tcW w:w="10908" w:type="dxa"/>
            <w:gridSpan w:val="2"/>
            <w:tcBorders>
              <w:bottom w:val="single" w:sz="4" w:space="0" w:color="auto"/>
            </w:tcBorders>
            <w:shd w:val="clear" w:color="auto" w:fill="000000" w:themeFill="text1"/>
          </w:tcPr>
          <w:p w:rsidR="00C032BB" w:rsidRDefault="00C032BB" w:rsidP="008C6625">
            <w:pPr>
              <w:jc w:val="center"/>
              <w:rPr>
                <w:b/>
                <w:color w:val="FFFFFF" w:themeColor="background1"/>
                <w:sz w:val="32"/>
                <w:szCs w:val="32"/>
              </w:rPr>
            </w:pPr>
            <w:r>
              <w:br w:type="page"/>
            </w:r>
            <w:r>
              <w:rPr>
                <w:b/>
                <w:color w:val="FFFFFF" w:themeColor="background1"/>
                <w:sz w:val="32"/>
                <w:szCs w:val="32"/>
              </w:rPr>
              <w:t>METHOD OF PAYMENT</w:t>
            </w:r>
          </w:p>
          <w:p w:rsidR="00C032BB" w:rsidRDefault="00C032BB" w:rsidP="008C6625">
            <w:pPr>
              <w:jc w:val="center"/>
              <w:rPr>
                <w:color w:val="FFFFFF" w:themeColor="background1"/>
              </w:rPr>
            </w:pPr>
            <w:r w:rsidRPr="00046848">
              <w:rPr>
                <w:color w:val="FFFFFF" w:themeColor="background1"/>
              </w:rPr>
              <w:t>Payment</w:t>
            </w:r>
            <w:r>
              <w:rPr>
                <w:color w:val="FFFFFF" w:themeColor="background1"/>
              </w:rPr>
              <w:t xml:space="preserve"> in full must be rendered prior to the start of the Exhibition Show.</w:t>
            </w:r>
          </w:p>
          <w:p w:rsidR="00C032BB" w:rsidRPr="00046848" w:rsidRDefault="00C032BB" w:rsidP="008C6625">
            <w:pPr>
              <w:jc w:val="center"/>
              <w:rPr>
                <w:color w:val="FFFFFF" w:themeColor="background1"/>
              </w:rPr>
            </w:pPr>
            <w:r>
              <w:rPr>
                <w:color w:val="FFFFFF" w:themeColor="background1"/>
              </w:rPr>
              <w:t>CREDIT CARD PAYMENT ONLY – CHECKS AND CASH NOT ACCEPTED</w:t>
            </w:r>
          </w:p>
        </w:tc>
      </w:tr>
      <w:tr w:rsidR="00C032BB" w:rsidTr="008C6625">
        <w:trPr>
          <w:trHeight w:val="503"/>
        </w:trPr>
        <w:tc>
          <w:tcPr>
            <w:tcW w:w="2628" w:type="dxa"/>
          </w:tcPr>
          <w:p w:rsidR="00C032BB" w:rsidRDefault="00C032BB" w:rsidP="008C6625">
            <w:r>
              <w:t>Card Number:</w:t>
            </w:r>
          </w:p>
        </w:tc>
        <w:tc>
          <w:tcPr>
            <w:tcW w:w="8280" w:type="dxa"/>
          </w:tcPr>
          <w:p w:rsidR="00C032BB" w:rsidRPr="002B68A6" w:rsidRDefault="00C032BB" w:rsidP="008C6625">
            <w:pPr>
              <w:rPr>
                <w:sz w:val="24"/>
                <w:szCs w:val="24"/>
              </w:rPr>
            </w:pPr>
          </w:p>
        </w:tc>
      </w:tr>
      <w:tr w:rsidR="00C032BB" w:rsidTr="008C6625">
        <w:trPr>
          <w:trHeight w:val="512"/>
        </w:trPr>
        <w:tc>
          <w:tcPr>
            <w:tcW w:w="2628" w:type="dxa"/>
          </w:tcPr>
          <w:p w:rsidR="00C032BB" w:rsidRDefault="00C032BB" w:rsidP="008C6625">
            <w:r>
              <w:t>Expiration Date:</w:t>
            </w:r>
          </w:p>
        </w:tc>
        <w:tc>
          <w:tcPr>
            <w:tcW w:w="8280" w:type="dxa"/>
          </w:tcPr>
          <w:p w:rsidR="00C032BB" w:rsidRPr="002B68A6" w:rsidRDefault="00C032BB" w:rsidP="008C6625">
            <w:pPr>
              <w:rPr>
                <w:sz w:val="24"/>
                <w:szCs w:val="24"/>
              </w:rPr>
            </w:pPr>
          </w:p>
        </w:tc>
      </w:tr>
      <w:tr w:rsidR="00C032BB" w:rsidTr="008C6625">
        <w:trPr>
          <w:trHeight w:val="548"/>
        </w:trPr>
        <w:tc>
          <w:tcPr>
            <w:tcW w:w="2628" w:type="dxa"/>
          </w:tcPr>
          <w:p w:rsidR="00C032BB" w:rsidRDefault="00C032BB" w:rsidP="008C6625">
            <w:r>
              <w:t>Cardholder Name:</w:t>
            </w:r>
          </w:p>
        </w:tc>
        <w:tc>
          <w:tcPr>
            <w:tcW w:w="8280" w:type="dxa"/>
          </w:tcPr>
          <w:p w:rsidR="00C032BB" w:rsidRPr="002B68A6" w:rsidRDefault="00C032BB" w:rsidP="008C6625">
            <w:pPr>
              <w:rPr>
                <w:sz w:val="24"/>
                <w:szCs w:val="24"/>
              </w:rPr>
            </w:pPr>
          </w:p>
        </w:tc>
      </w:tr>
      <w:tr w:rsidR="00C032BB" w:rsidTr="008C6625">
        <w:trPr>
          <w:trHeight w:val="512"/>
        </w:trPr>
        <w:tc>
          <w:tcPr>
            <w:tcW w:w="2628" w:type="dxa"/>
          </w:tcPr>
          <w:p w:rsidR="00C032BB" w:rsidRDefault="00C032BB" w:rsidP="008C6625">
            <w:r>
              <w:t>Billing Address:</w:t>
            </w:r>
          </w:p>
        </w:tc>
        <w:tc>
          <w:tcPr>
            <w:tcW w:w="8280" w:type="dxa"/>
          </w:tcPr>
          <w:p w:rsidR="00C032BB" w:rsidRPr="002B68A6" w:rsidRDefault="00C032BB" w:rsidP="008C6625">
            <w:pPr>
              <w:rPr>
                <w:sz w:val="24"/>
                <w:szCs w:val="24"/>
              </w:rPr>
            </w:pPr>
          </w:p>
        </w:tc>
      </w:tr>
      <w:tr w:rsidR="00C032BB" w:rsidTr="008C6625">
        <w:trPr>
          <w:trHeight w:val="458"/>
        </w:trPr>
        <w:tc>
          <w:tcPr>
            <w:tcW w:w="2628" w:type="dxa"/>
          </w:tcPr>
          <w:p w:rsidR="00C032BB" w:rsidRDefault="00C032BB" w:rsidP="008C6625">
            <w:r>
              <w:t>City, State, Zip Code:</w:t>
            </w:r>
          </w:p>
        </w:tc>
        <w:tc>
          <w:tcPr>
            <w:tcW w:w="8280" w:type="dxa"/>
          </w:tcPr>
          <w:p w:rsidR="00C032BB" w:rsidRPr="002B68A6" w:rsidRDefault="00C032BB" w:rsidP="008C6625">
            <w:pPr>
              <w:rPr>
                <w:sz w:val="24"/>
                <w:szCs w:val="24"/>
              </w:rPr>
            </w:pPr>
          </w:p>
        </w:tc>
      </w:tr>
      <w:tr w:rsidR="00C032BB" w:rsidTr="008C6625">
        <w:trPr>
          <w:trHeight w:val="512"/>
        </w:trPr>
        <w:tc>
          <w:tcPr>
            <w:tcW w:w="2628" w:type="dxa"/>
          </w:tcPr>
          <w:p w:rsidR="00C032BB" w:rsidRDefault="00C032BB" w:rsidP="008C6625">
            <w:r>
              <w:t>Telephone:</w:t>
            </w:r>
          </w:p>
        </w:tc>
        <w:tc>
          <w:tcPr>
            <w:tcW w:w="8280" w:type="dxa"/>
          </w:tcPr>
          <w:p w:rsidR="00C032BB" w:rsidRPr="002B68A6" w:rsidRDefault="00C032BB" w:rsidP="008C6625">
            <w:pPr>
              <w:rPr>
                <w:sz w:val="24"/>
                <w:szCs w:val="24"/>
              </w:rPr>
            </w:pPr>
          </w:p>
        </w:tc>
      </w:tr>
      <w:tr w:rsidR="00C032BB" w:rsidTr="008C6625">
        <w:trPr>
          <w:trHeight w:val="548"/>
        </w:trPr>
        <w:tc>
          <w:tcPr>
            <w:tcW w:w="2628" w:type="dxa"/>
          </w:tcPr>
          <w:p w:rsidR="00C032BB" w:rsidRDefault="00C032BB" w:rsidP="008C6625">
            <w:r>
              <w:t>Fax:</w:t>
            </w:r>
          </w:p>
        </w:tc>
        <w:tc>
          <w:tcPr>
            <w:tcW w:w="8280" w:type="dxa"/>
          </w:tcPr>
          <w:p w:rsidR="00C032BB" w:rsidRPr="002B68A6" w:rsidRDefault="00C032BB" w:rsidP="008C6625">
            <w:pPr>
              <w:rPr>
                <w:sz w:val="24"/>
                <w:szCs w:val="24"/>
              </w:rPr>
            </w:pPr>
          </w:p>
        </w:tc>
      </w:tr>
    </w:tbl>
    <w:p w:rsidR="00C032BB" w:rsidRDefault="00C032BB" w:rsidP="007C0350">
      <w:pPr>
        <w:spacing w:after="0" w:line="240" w:lineRule="auto"/>
      </w:pPr>
    </w:p>
    <w:p w:rsidR="00C032BB" w:rsidRPr="00B26E8B" w:rsidRDefault="00C032BB" w:rsidP="00C032BB">
      <w:pPr>
        <w:spacing w:after="0" w:line="240" w:lineRule="auto"/>
        <w:rPr>
          <w:i/>
          <w:sz w:val="24"/>
          <w:szCs w:val="24"/>
        </w:rPr>
      </w:pPr>
      <w:r w:rsidRPr="00B26E8B">
        <w:rPr>
          <w:i/>
          <w:sz w:val="24"/>
          <w:szCs w:val="24"/>
        </w:rPr>
        <w:t>I agree to the terms stated above and authorize charges to be made to the above credit card.</w:t>
      </w:r>
    </w:p>
    <w:tbl>
      <w:tblPr>
        <w:tblStyle w:val="TableGrid"/>
        <w:tblW w:w="0" w:type="auto"/>
        <w:tblLook w:val="04A0" w:firstRow="1" w:lastRow="0" w:firstColumn="1" w:lastColumn="0" w:noHBand="0" w:noVBand="1"/>
      </w:tblPr>
      <w:tblGrid>
        <w:gridCol w:w="2396"/>
        <w:gridCol w:w="4678"/>
        <w:gridCol w:w="1021"/>
        <w:gridCol w:w="1481"/>
      </w:tblGrid>
      <w:tr w:rsidR="00C032BB" w:rsidRPr="00046848" w:rsidTr="008C6625">
        <w:tc>
          <w:tcPr>
            <w:tcW w:w="10908" w:type="dxa"/>
            <w:gridSpan w:val="4"/>
            <w:tcBorders>
              <w:bottom w:val="single" w:sz="4" w:space="0" w:color="auto"/>
            </w:tcBorders>
            <w:shd w:val="clear" w:color="auto" w:fill="000000" w:themeFill="text1"/>
          </w:tcPr>
          <w:p w:rsidR="00C032BB" w:rsidRPr="00AF3A82" w:rsidRDefault="00C032BB" w:rsidP="008C6625">
            <w:pPr>
              <w:jc w:val="center"/>
              <w:rPr>
                <w:b/>
                <w:color w:val="FFFFFF" w:themeColor="background1"/>
                <w:sz w:val="32"/>
                <w:szCs w:val="32"/>
              </w:rPr>
            </w:pPr>
            <w:r>
              <w:rPr>
                <w:b/>
                <w:color w:val="FFFFFF" w:themeColor="background1"/>
                <w:sz w:val="32"/>
                <w:szCs w:val="32"/>
              </w:rPr>
              <w:t>SIGNATURE</w:t>
            </w:r>
          </w:p>
        </w:tc>
      </w:tr>
      <w:tr w:rsidR="00C032BB" w:rsidTr="008C6625">
        <w:tc>
          <w:tcPr>
            <w:tcW w:w="2628" w:type="dxa"/>
            <w:vAlign w:val="bottom"/>
          </w:tcPr>
          <w:p w:rsidR="00C032BB" w:rsidRDefault="00C032BB" w:rsidP="008C6625">
            <w:r>
              <w:t>Signature:</w:t>
            </w:r>
          </w:p>
        </w:tc>
        <w:tc>
          <w:tcPr>
            <w:tcW w:w="5490" w:type="dxa"/>
          </w:tcPr>
          <w:p w:rsidR="00C032BB" w:rsidRPr="006732BD" w:rsidRDefault="00C032BB" w:rsidP="008C6625">
            <w:pPr>
              <w:rPr>
                <w:sz w:val="32"/>
                <w:szCs w:val="32"/>
              </w:rPr>
            </w:pPr>
          </w:p>
        </w:tc>
        <w:tc>
          <w:tcPr>
            <w:tcW w:w="1080" w:type="dxa"/>
            <w:vAlign w:val="bottom"/>
          </w:tcPr>
          <w:p w:rsidR="00C032BB" w:rsidRDefault="00C032BB" w:rsidP="008C6625">
            <w:r>
              <w:t>Date:</w:t>
            </w:r>
          </w:p>
        </w:tc>
        <w:tc>
          <w:tcPr>
            <w:tcW w:w="1710" w:type="dxa"/>
          </w:tcPr>
          <w:p w:rsidR="00C032BB" w:rsidRDefault="00C032BB" w:rsidP="008C6625"/>
        </w:tc>
      </w:tr>
    </w:tbl>
    <w:p w:rsidR="00C032BB" w:rsidRDefault="00C032BB" w:rsidP="007C0350">
      <w:pPr>
        <w:spacing w:after="0" w:line="240" w:lineRule="auto"/>
      </w:pPr>
    </w:p>
    <w:sectPr w:rsidR="00C03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FF1"/>
    <w:multiLevelType w:val="hybridMultilevel"/>
    <w:tmpl w:val="CB867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35486"/>
    <w:multiLevelType w:val="hybridMultilevel"/>
    <w:tmpl w:val="E7320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15BC7"/>
    <w:multiLevelType w:val="hybridMultilevel"/>
    <w:tmpl w:val="4A8E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930A9"/>
    <w:multiLevelType w:val="hybridMultilevel"/>
    <w:tmpl w:val="DC845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50"/>
    <w:rsid w:val="002012AF"/>
    <w:rsid w:val="0046074B"/>
    <w:rsid w:val="007A6AEA"/>
    <w:rsid w:val="007C0350"/>
    <w:rsid w:val="00951580"/>
    <w:rsid w:val="00AD3AA3"/>
    <w:rsid w:val="00B711BE"/>
    <w:rsid w:val="00C0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032BB"/>
    <w:pPr>
      <w:keepNext/>
      <w:spacing w:after="0" w:line="240" w:lineRule="auto"/>
      <w:outlineLvl w:val="3"/>
    </w:pPr>
    <w:rPr>
      <w:rFonts w:ascii="Bradley Hand ITC" w:eastAsia="Times New Roman" w:hAnsi="Bradley Hand ITC"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50"/>
    <w:rPr>
      <w:rFonts w:ascii="Tahoma" w:hAnsi="Tahoma" w:cs="Tahoma"/>
      <w:sz w:val="16"/>
      <w:szCs w:val="16"/>
    </w:rPr>
  </w:style>
  <w:style w:type="paragraph" w:styleId="ListParagraph">
    <w:name w:val="List Paragraph"/>
    <w:basedOn w:val="Normal"/>
    <w:uiPriority w:val="34"/>
    <w:qFormat/>
    <w:rsid w:val="00C032BB"/>
    <w:pPr>
      <w:ind w:left="720"/>
      <w:contextualSpacing/>
    </w:pPr>
  </w:style>
  <w:style w:type="character" w:customStyle="1" w:styleId="Heading4Char">
    <w:name w:val="Heading 4 Char"/>
    <w:basedOn w:val="DefaultParagraphFont"/>
    <w:link w:val="Heading4"/>
    <w:rsid w:val="00C032BB"/>
    <w:rPr>
      <w:rFonts w:ascii="Bradley Hand ITC" w:eastAsia="Times New Roman" w:hAnsi="Bradley Hand ITC" w:cs="Tahoma"/>
      <w:b/>
      <w:bCs/>
      <w:sz w:val="24"/>
      <w:szCs w:val="24"/>
    </w:rPr>
  </w:style>
  <w:style w:type="table" w:styleId="TableGrid">
    <w:name w:val="Table Grid"/>
    <w:basedOn w:val="TableNormal"/>
    <w:uiPriority w:val="59"/>
    <w:rsid w:val="00C0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C032BB"/>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C032BB"/>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032BB"/>
    <w:pPr>
      <w:keepNext/>
      <w:spacing w:after="0" w:line="240" w:lineRule="auto"/>
      <w:outlineLvl w:val="3"/>
    </w:pPr>
    <w:rPr>
      <w:rFonts w:ascii="Bradley Hand ITC" w:eastAsia="Times New Roman" w:hAnsi="Bradley Hand ITC"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50"/>
    <w:rPr>
      <w:rFonts w:ascii="Tahoma" w:hAnsi="Tahoma" w:cs="Tahoma"/>
      <w:sz w:val="16"/>
      <w:szCs w:val="16"/>
    </w:rPr>
  </w:style>
  <w:style w:type="paragraph" w:styleId="ListParagraph">
    <w:name w:val="List Paragraph"/>
    <w:basedOn w:val="Normal"/>
    <w:uiPriority w:val="34"/>
    <w:qFormat/>
    <w:rsid w:val="00C032BB"/>
    <w:pPr>
      <w:ind w:left="720"/>
      <w:contextualSpacing/>
    </w:pPr>
  </w:style>
  <w:style w:type="character" w:customStyle="1" w:styleId="Heading4Char">
    <w:name w:val="Heading 4 Char"/>
    <w:basedOn w:val="DefaultParagraphFont"/>
    <w:link w:val="Heading4"/>
    <w:rsid w:val="00C032BB"/>
    <w:rPr>
      <w:rFonts w:ascii="Bradley Hand ITC" w:eastAsia="Times New Roman" w:hAnsi="Bradley Hand ITC" w:cs="Tahoma"/>
      <w:b/>
      <w:bCs/>
      <w:sz w:val="24"/>
      <w:szCs w:val="24"/>
    </w:rPr>
  </w:style>
  <w:style w:type="table" w:styleId="TableGrid">
    <w:name w:val="Table Grid"/>
    <w:basedOn w:val="TableNormal"/>
    <w:uiPriority w:val="59"/>
    <w:rsid w:val="00C0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C032BB"/>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C032BB"/>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Hyatt Hotels &amp; Resorts</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Kettner, Amy (MSPRM)</dc:creator>
  <cp:lastModifiedBy>Halvorson, Amanda (MSPRM)</cp:lastModifiedBy>
  <cp:revision>2</cp:revision>
  <cp:lastPrinted>2018-11-28T21:17:00Z</cp:lastPrinted>
  <dcterms:created xsi:type="dcterms:W3CDTF">2018-11-28T21:18:00Z</dcterms:created>
  <dcterms:modified xsi:type="dcterms:W3CDTF">2018-11-28T21:18:00Z</dcterms:modified>
</cp:coreProperties>
</file>